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52"/>
        <w:ind w:left="567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Договор поставки № _________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pStyle w:val="952"/>
        <w:ind w:left="567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jc w:val="center"/>
        <w:shd w:val="clear" w:color="auto" w:fill="ffffff"/>
        <w:rPr>
          <w:color w:val="000000"/>
          <w:sz w:val="26"/>
          <w:szCs w:val="26"/>
        </w:rPr>
      </w:pPr>
      <w:r>
        <w:rPr>
          <w:bCs/>
          <w:sz w:val="26"/>
          <w:szCs w:val="26"/>
        </w:rPr>
        <w:t xml:space="preserve">г. Томск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  <w:t xml:space="preserve"> «___» ________ 202_ г.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ind w:left="273"/>
        <w:jc w:val="both"/>
        <w:shd w:val="clear" w:color="auto" w:fill="ffffff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ind w:firstLine="709"/>
        <w:jc w:val="both"/>
        <w:shd w:val="clear" w:color="auto" w:fill="ffffff"/>
        <w:rPr>
          <w:bCs/>
          <w:sz w:val="26"/>
          <w:szCs w:val="26"/>
        </w:rPr>
      </w:pPr>
      <w:r>
        <w:rPr>
          <w:b/>
          <w:color w:val="000000"/>
          <w:sz w:val="26"/>
          <w:szCs w:val="26"/>
          <w:shd w:val="clear" w:color="auto" w:fill="ffffff"/>
        </w:rPr>
        <w:t xml:space="preserve">Акционерное общество «Томская </w:t>
      </w:r>
      <w:r>
        <w:rPr>
          <w:b/>
          <w:color w:val="000000"/>
          <w:sz w:val="26"/>
          <w:szCs w:val="26"/>
          <w:shd w:val="clear" w:color="auto" w:fill="ffffff"/>
        </w:rPr>
        <w:t xml:space="preserve">энергосбытовая</w:t>
      </w:r>
      <w:r>
        <w:rPr>
          <w:b/>
          <w:color w:val="000000"/>
          <w:sz w:val="26"/>
          <w:szCs w:val="26"/>
          <w:shd w:val="clear" w:color="auto" w:fill="ffffff"/>
        </w:rPr>
        <w:t xml:space="preserve"> компания», (АО «Томскэнергосбыт»)</w:t>
      </w:r>
      <w:r>
        <w:rPr>
          <w:sz w:val="26"/>
          <w:szCs w:val="26"/>
        </w:rPr>
        <w:t xml:space="preserve">,</w:t>
      </w:r>
      <w:r>
        <w:rPr>
          <w:bCs/>
          <w:sz w:val="26"/>
          <w:szCs w:val="26"/>
        </w:rPr>
        <w:t xml:space="preserve"> именуемое в дальнейшем </w:t>
      </w:r>
      <w:r>
        <w:rPr>
          <w:b/>
          <w:bCs/>
          <w:sz w:val="26"/>
          <w:szCs w:val="26"/>
        </w:rPr>
        <w:t xml:space="preserve">«Покупатель»</w:t>
      </w:r>
      <w:r>
        <w:rPr>
          <w:bCs/>
          <w:sz w:val="26"/>
          <w:szCs w:val="26"/>
        </w:rPr>
        <w:t xml:space="preserve">, в лице </w:t>
      </w:r>
      <w:r>
        <w:rPr>
          <w:color w:val="000000"/>
          <w:sz w:val="26"/>
          <w:szCs w:val="26"/>
          <w:shd w:val="clear" w:color="auto" w:fill="ffffff"/>
        </w:rPr>
        <w:t xml:space="preserve">_________________________</w:t>
      </w:r>
      <w:r>
        <w:rPr>
          <w:color w:val="000000"/>
          <w:sz w:val="26"/>
          <w:szCs w:val="26"/>
          <w:shd w:val="clear" w:color="auto" w:fill="ffffff"/>
        </w:rPr>
        <w:t xml:space="preserve">, действующего на основании Устава</w:t>
      </w:r>
      <w:r>
        <w:rPr>
          <w:bCs/>
          <w:sz w:val="26"/>
          <w:szCs w:val="26"/>
        </w:rPr>
        <w:t xml:space="preserve">, с одной стороны, и</w:t>
      </w:r>
      <w:r>
        <w:rPr>
          <w:bCs/>
          <w:sz w:val="26"/>
          <w:szCs w:val="26"/>
        </w:rPr>
      </w:r>
      <w:r>
        <w:rPr>
          <w:bCs/>
          <w:sz w:val="26"/>
          <w:szCs w:val="26"/>
        </w:rPr>
      </w:r>
    </w:p>
    <w:p>
      <w:pPr>
        <w:ind w:firstLine="709"/>
        <w:jc w:val="both"/>
        <w:shd w:val="clear" w:color="auto" w:fill="ffffff"/>
        <w:rPr>
          <w:color w:val="000000"/>
          <w:sz w:val="26"/>
          <w:szCs w:val="26"/>
        </w:rPr>
      </w:pPr>
      <w:r>
        <w:rPr>
          <w:b/>
          <w:bCs/>
          <w:sz w:val="26"/>
          <w:szCs w:val="26"/>
        </w:rPr>
        <w:t xml:space="preserve">______________________, (_____________________), </w:t>
      </w:r>
      <w:r>
        <w:rPr>
          <w:bCs/>
          <w:sz w:val="26"/>
          <w:szCs w:val="26"/>
        </w:rPr>
        <w:t xml:space="preserve">именуемое в дальнейшем</w:t>
      </w:r>
      <w:r>
        <w:rPr>
          <w:b/>
          <w:bCs/>
          <w:sz w:val="26"/>
          <w:szCs w:val="26"/>
        </w:rPr>
        <w:t xml:space="preserve"> «Поставщик», </w:t>
      </w:r>
      <w:r>
        <w:rPr>
          <w:bCs/>
          <w:sz w:val="26"/>
          <w:szCs w:val="26"/>
        </w:rPr>
        <w:t xml:space="preserve">в лице ______________________</w:t>
      </w:r>
      <w:r>
        <w:rPr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действующего на основании ________</w:t>
      </w:r>
      <w:r>
        <w:rPr>
          <w:bCs/>
          <w:sz w:val="26"/>
          <w:szCs w:val="26"/>
        </w:rPr>
        <w:t xml:space="preserve">____</w:t>
      </w:r>
      <w:r>
        <w:rPr>
          <w:color w:val="000000"/>
          <w:sz w:val="26"/>
          <w:szCs w:val="26"/>
        </w:rPr>
        <w:t xml:space="preserve">, с другой стороны, совместно именуемые «Стороны», а по отдельности «Сторона», заключили настоящий Договор о нижеследующем: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numPr>
          <w:ilvl w:val="0"/>
          <w:numId w:val="2"/>
        </w:numPr>
        <w:ind w:left="357" w:hanging="357"/>
        <w:jc w:val="center"/>
        <w:spacing w:before="120" w:after="120"/>
        <w:shd w:val="clear" w:color="auto" w:fill="ffffff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Предмет Договора</w:t>
      </w:r>
      <w:r>
        <w:rPr>
          <w:b/>
          <w:bCs/>
          <w:color w:val="000000"/>
          <w:sz w:val="26"/>
          <w:szCs w:val="26"/>
        </w:rPr>
      </w:r>
      <w:r>
        <w:rPr>
          <w:b/>
          <w:bCs/>
          <w:color w:val="000000"/>
          <w:sz w:val="26"/>
          <w:szCs w:val="26"/>
        </w:rPr>
      </w:r>
    </w:p>
    <w:p>
      <w:pPr>
        <w:numPr>
          <w:ilvl w:val="1"/>
          <w:numId w:val="2"/>
        </w:numPr>
        <w:ind w:left="0" w:firstLine="709"/>
        <w:jc w:val="both"/>
        <w:shd w:val="clear" w:color="auto" w:fill="ffffff"/>
        <w:tabs>
          <w:tab w:val="left" w:pos="540" w:leader="none"/>
        </w:tabs>
        <w:rPr>
          <w:color w:val="000000"/>
          <w:sz w:val="26"/>
          <w:szCs w:val="26"/>
        </w:rPr>
      </w:pPr>
      <w:r>
        <w:rPr>
          <w:bCs/>
          <w:sz w:val="26"/>
          <w:szCs w:val="26"/>
        </w:rPr>
        <w:t xml:space="preserve">В соответствии с Договором Поставщик обязуется передать Покупателю в собственность мебель офисную (далее - Товар) со всей необходимой докум</w:t>
      </w:r>
      <w:r>
        <w:rPr>
          <w:bCs/>
          <w:sz w:val="26"/>
          <w:szCs w:val="26"/>
        </w:rPr>
        <w:t xml:space="preserve">ентацией в порядке и на условиях, предусмотренных настоящим Договором и Приложением №1 к нему.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numPr>
          <w:ilvl w:val="1"/>
          <w:numId w:val="2"/>
        </w:numPr>
        <w:ind w:left="0" w:firstLine="709"/>
        <w:jc w:val="both"/>
        <w:shd w:val="clear" w:color="auto" w:fill="ffffff"/>
        <w:tabs>
          <w:tab w:val="left" w:pos="540" w:leader="none"/>
        </w:tabs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Товар на дату его доставки Покупателю должен быть новым и не использованным ранее, отвечать требованиям</w:t>
      </w:r>
      <w:r>
        <w:rPr>
          <w:bCs/>
          <w:sz w:val="26"/>
          <w:szCs w:val="26"/>
        </w:rPr>
        <w:t xml:space="preserve"> законодательства, действующего на территории Российской Ф</w:t>
      </w:r>
      <w:r>
        <w:rPr>
          <w:bCs/>
          <w:sz w:val="26"/>
          <w:szCs w:val="26"/>
        </w:rPr>
        <w:t xml:space="preserve">едерации, иметь паспорта, сертификаты качества (включая сертификат </w:t>
      </w:r>
      <w:r>
        <w:rPr>
          <w:sz w:val="26"/>
          <w:szCs w:val="26"/>
        </w:rPr>
        <w:t xml:space="preserve">ГОСТ Р</w:t>
      </w:r>
      <w:r>
        <w:rPr>
          <w:bCs/>
          <w:sz w:val="26"/>
          <w:szCs w:val="26"/>
        </w:rPr>
        <w:t xml:space="preserve">), соответствия промышленной безопасности, протоколы заводских испытаний</w:t>
      </w:r>
      <w:r>
        <w:rPr>
          <w:bCs/>
          <w:i/>
          <w:sz w:val="26"/>
          <w:szCs w:val="26"/>
        </w:rPr>
        <w:t xml:space="preserve">.</w:t>
      </w:r>
      <w:r>
        <w:rPr>
          <w:bCs/>
          <w:sz w:val="26"/>
          <w:szCs w:val="26"/>
        </w:rPr>
        <w:t xml:space="preserve"> Поставщик обязан обеспечить получение всех разрешений, заключений и освидетельствований, выдаваемых компетент</w:t>
      </w:r>
      <w:r>
        <w:rPr>
          <w:bCs/>
          <w:sz w:val="26"/>
          <w:szCs w:val="26"/>
        </w:rPr>
        <w:t xml:space="preserve">ными органами государственной власти Российской Федерации и местного самоуправления, в отношении Товара.</w:t>
      </w:r>
      <w:r>
        <w:rPr>
          <w:bCs/>
          <w:sz w:val="26"/>
          <w:szCs w:val="26"/>
        </w:rPr>
      </w:r>
      <w:r>
        <w:rPr>
          <w:bCs/>
          <w:sz w:val="26"/>
          <w:szCs w:val="26"/>
        </w:rPr>
      </w:r>
    </w:p>
    <w:p>
      <w:pPr>
        <w:numPr>
          <w:ilvl w:val="1"/>
          <w:numId w:val="2"/>
        </w:numPr>
        <w:ind w:left="0" w:firstLine="709"/>
        <w:jc w:val="both"/>
        <w:shd w:val="clear" w:color="auto" w:fill="ffffff"/>
        <w:tabs>
          <w:tab w:val="left" w:pos="540" w:leader="none"/>
          <w:tab w:val="clear" w:pos="792" w:leader="none"/>
        </w:tabs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Поставщик гарантирует, что Товар на д</w:t>
      </w:r>
      <w:r>
        <w:rPr>
          <w:rFonts w:ascii="Times New Roman" w:hAnsi="Times New Roman" w:eastAsia="Times New Roman" w:cs="Times New Roman"/>
          <w:bCs/>
          <w:sz w:val="26"/>
          <w:szCs w:val="26"/>
        </w:rPr>
        <w:t xml:space="preserve">ату его поставки Покупателю не заложен, не находится под арестом и не обременен иным образом пра</w:t>
      </w:r>
      <w:r>
        <w:rPr>
          <w:bCs/>
          <w:sz w:val="26"/>
          <w:szCs w:val="26"/>
        </w:rPr>
        <w:t xml:space="preserve">вами третьих лиц. </w:t>
      </w:r>
      <w:r>
        <w:rPr>
          <w:bCs/>
          <w:sz w:val="26"/>
          <w:szCs w:val="26"/>
        </w:rPr>
        <w:t xml:space="preserve">Если какие-либо указанные в настоящем пункте гарантии впоследствии оказываются неточными или неверными, Поставщик обязуется возместить Покупателю люб</w:t>
      </w:r>
      <w:r>
        <w:rPr>
          <w:bCs/>
          <w:sz w:val="26"/>
          <w:szCs w:val="26"/>
        </w:rPr>
        <w:t xml:space="preserve">ые убытки, понесенные Покупателем непосредственно в связи с тем, что Покупатель полагался на такие гарантии</w:t>
      </w:r>
      <w:r>
        <w:rPr>
          <w:bCs/>
          <w:sz w:val="26"/>
          <w:szCs w:val="26"/>
        </w:rPr>
        <w:t xml:space="preserve">.</w:t>
      </w:r>
      <w:r>
        <w:rPr>
          <w:bCs/>
          <w:sz w:val="26"/>
          <w:szCs w:val="26"/>
        </w:rPr>
      </w:r>
      <w:r>
        <w:rPr>
          <w:bCs/>
          <w:sz w:val="26"/>
          <w:szCs w:val="26"/>
        </w:rPr>
      </w:r>
    </w:p>
    <w:p>
      <w:pPr>
        <w:numPr>
          <w:ilvl w:val="1"/>
          <w:numId w:val="2"/>
        </w:numPr>
        <w:ind w:left="0" w:firstLine="709"/>
        <w:jc w:val="both"/>
        <w:shd w:val="clear" w:color="auto" w:fill="ffffff"/>
        <w:tabs>
          <w:tab w:val="left" w:pos="540" w:leader="none"/>
        </w:tabs>
        <w:rPr>
          <w:color w:val="000000"/>
          <w:sz w:val="26"/>
          <w:szCs w:val="26"/>
        </w:rPr>
      </w:pPr>
      <w:r>
        <w:rPr>
          <w:bCs/>
          <w:sz w:val="26"/>
          <w:szCs w:val="26"/>
        </w:rPr>
        <w:t xml:space="preserve">Доставка Товара осуществляется силами и за счет Поставщика до офиса Покупателя по адресу: г. Томск, ул. Котовского 19, в рабочие дни с 8-00 до 17-00 часов. Погрузо-разгрузочные работы осуществляются силами Поставщика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numPr>
          <w:ilvl w:val="1"/>
          <w:numId w:val="2"/>
        </w:numPr>
        <w:ind w:left="0" w:firstLine="709"/>
        <w:jc w:val="both"/>
        <w:shd w:val="clear" w:color="auto" w:fill="ffffff"/>
        <w:tabs>
          <w:tab w:val="left" w:pos="540" w:leader="none"/>
        </w:tabs>
        <w:rPr>
          <w:color w:val="000000"/>
          <w:sz w:val="26"/>
          <w:szCs w:val="26"/>
        </w:rPr>
      </w:pPr>
      <w:r>
        <w:rPr>
          <w:bCs/>
          <w:sz w:val="26"/>
          <w:szCs w:val="26"/>
        </w:rPr>
        <w:t xml:space="preserve">Покупатель обязуется принять и оплати</w:t>
      </w:r>
      <w:r>
        <w:rPr>
          <w:bCs/>
          <w:sz w:val="26"/>
          <w:szCs w:val="26"/>
        </w:rPr>
        <w:t xml:space="preserve">ть Товар на условиях настоящего Договора.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numPr>
          <w:ilvl w:val="1"/>
          <w:numId w:val="2"/>
        </w:numPr>
        <w:ind w:left="0" w:firstLine="709"/>
        <w:jc w:val="both"/>
        <w:shd w:val="clear" w:color="auto" w:fill="ffffff"/>
        <w:tabs>
          <w:tab w:val="left" w:pos="540" w:leader="none"/>
        </w:tabs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Наименование и цена за единицу поставляемого Товара указаны Сторонами в Спецификации (Приложение № 1</w:t>
      </w:r>
      <w:r>
        <w:rPr>
          <w:b/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к настоящему Договору).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numPr>
          <w:ilvl w:val="0"/>
          <w:numId w:val="2"/>
        </w:numPr>
        <w:ind w:left="357" w:hanging="357"/>
        <w:jc w:val="center"/>
        <w:spacing w:before="120" w:after="120"/>
        <w:shd w:val="clear" w:color="auto" w:fill="ffffff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Сумма Договора и порядок оплаты</w:t>
      </w:r>
      <w:r>
        <w:rPr>
          <w:b/>
          <w:color w:val="000000"/>
          <w:sz w:val="26"/>
          <w:szCs w:val="26"/>
        </w:rPr>
      </w:r>
      <w:r>
        <w:rPr>
          <w:b/>
          <w:color w:val="000000"/>
          <w:sz w:val="26"/>
          <w:szCs w:val="26"/>
        </w:rPr>
      </w:r>
    </w:p>
    <w:p>
      <w:pPr>
        <w:numPr>
          <w:ilvl w:val="1"/>
          <w:numId w:val="2"/>
        </w:numPr>
        <w:ind w:left="0" w:firstLine="709"/>
        <w:jc w:val="both"/>
        <w:shd w:val="clear" w:color="auto" w:fill="ffffff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Общая стоимость поставляемого Товара по настоящему Договору не должна превышать</w:t>
      </w:r>
      <w:r>
        <w:rPr>
          <w:b/>
          <w:sz w:val="26"/>
          <w:szCs w:val="26"/>
        </w:rPr>
        <w:t xml:space="preserve"> __________ рублей (____________ рублей ___ копеек), в том числе НДС ____% - ______________ рублей (___________________ рублей ___ копеек).  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numPr>
          <w:ilvl w:val="1"/>
          <w:numId w:val="2"/>
        </w:numPr>
        <w:ind w:left="0" w:firstLine="709"/>
        <w:jc w:val="both"/>
        <w:shd w:val="clear" w:color="auto" w:fill="ffffff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С</w:t>
      </w:r>
      <w:r>
        <w:rPr>
          <w:color w:val="000000"/>
          <w:sz w:val="26"/>
          <w:szCs w:val="26"/>
        </w:rPr>
        <w:t xml:space="preserve">умма Договора устанавливается в ру</w:t>
      </w:r>
      <w:r>
        <w:rPr>
          <w:color w:val="000000"/>
          <w:sz w:val="26"/>
          <w:szCs w:val="26"/>
        </w:rPr>
        <w:t xml:space="preserve">блях Российской Федерации. Оплата по настоящему Договору производится в рублях.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numPr>
          <w:ilvl w:val="1"/>
          <w:numId w:val="2"/>
        </w:numPr>
        <w:ind w:left="0" w:firstLine="709"/>
        <w:jc w:val="both"/>
        <w:shd w:val="clear" w:color="auto" w:fill="ffffff"/>
        <w:tabs>
          <w:tab w:val="num" w:pos="720" w:leader="none"/>
          <w:tab w:val="clear" w:pos="792" w:leader="none"/>
        </w:tabs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Сумма Договора включает в себя стоимость Товара, </w:t>
      </w:r>
      <w:r>
        <w:rPr>
          <w:sz w:val="26"/>
          <w:szCs w:val="26"/>
        </w:rPr>
        <w:t xml:space="preserve">затраты Поставщика по доставке и сборке Товара в адрес Покупателя (до офиса Покупателя)</w:t>
      </w:r>
      <w:r>
        <w:rPr>
          <w:color w:val="000000"/>
          <w:sz w:val="26"/>
          <w:szCs w:val="26"/>
        </w:rPr>
        <w:t xml:space="preserve">, все налоги, сборы и пошлины, расходы по погрузк</w:t>
      </w:r>
      <w:r>
        <w:rPr>
          <w:color w:val="000000"/>
          <w:sz w:val="26"/>
          <w:szCs w:val="26"/>
        </w:rPr>
        <w:t xml:space="preserve">е, выгрузке, упаковке, таре, сборке, а также иные расходы, связанные с осуществлением поставки по настоящему Договору. </w:t>
      </w:r>
      <w:r>
        <w:rPr>
          <w:sz w:val="26"/>
          <w:szCs w:val="26"/>
        </w:rPr>
        <w:t xml:space="preserve">В случае поставки </w:t>
      </w:r>
      <w:r>
        <w:rPr>
          <w:sz w:val="26"/>
          <w:szCs w:val="26"/>
        </w:rPr>
        <w:t xml:space="preserve">Товара иностранного производства цена соответствующего Товара, в том числе, включает в себя все таможенные платежи, свя</w:t>
      </w:r>
      <w:r>
        <w:rPr>
          <w:sz w:val="26"/>
          <w:szCs w:val="26"/>
        </w:rPr>
        <w:t xml:space="preserve">занные с таможенным оформлением Товара для выпуска в свободное обращение на территории Российской Федерации. 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pStyle w:val="972"/>
        <w:numPr>
          <w:ilvl w:val="1"/>
          <w:numId w:val="7"/>
        </w:numPr>
        <w:ind w:left="0" w:firstLine="709"/>
        <w:jc w:val="both"/>
        <w:shd w:val="clear" w:color="auto" w:fill="ffffff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Расчет осуществляется в форме безналичного расчета путем перечисления денежных средств на расчетный счет Поставщика за каждую партию Товара в срок</w:t>
      </w:r>
      <w:r>
        <w:rPr>
          <w:color w:val="000000"/>
          <w:sz w:val="26"/>
          <w:szCs w:val="26"/>
        </w:rPr>
        <w:t xml:space="preserve"> не более 7 (семи) рабочих дней с даты приемки Товара Покупателем на основании выставленного счета и товарной накладной унифицированной</w:t>
      </w:r>
      <w:r>
        <w:rPr>
          <w:sz w:val="26"/>
          <w:szCs w:val="26"/>
        </w:rPr>
        <w:t xml:space="preserve"> формы ТОРГ-12 или УПД (Универсального передаточного документа) и при условии предоставления Поставщиком Покупателю ориги</w:t>
      </w:r>
      <w:r>
        <w:rPr>
          <w:sz w:val="26"/>
          <w:szCs w:val="26"/>
        </w:rPr>
        <w:t xml:space="preserve">налы следующих надлежаще оформленных документов: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ind w:firstLine="709"/>
        <w:jc w:val="both"/>
        <w:tabs>
          <w:tab w:val="left" w:pos="90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• Счета(</w:t>
      </w:r>
      <w:r>
        <w:rPr>
          <w:sz w:val="26"/>
          <w:szCs w:val="26"/>
        </w:rPr>
        <w:t xml:space="preserve">ов</w:t>
      </w:r>
      <w:r>
        <w:rPr>
          <w:sz w:val="26"/>
          <w:szCs w:val="26"/>
        </w:rPr>
        <w:t xml:space="preserve">)-фактуры;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tabs>
          <w:tab w:val="left" w:pos="90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• Счета(</w:t>
      </w:r>
      <w:r>
        <w:rPr>
          <w:sz w:val="26"/>
          <w:szCs w:val="26"/>
        </w:rPr>
        <w:t xml:space="preserve">ов</w:t>
      </w:r>
      <w:r>
        <w:rPr>
          <w:sz w:val="26"/>
          <w:szCs w:val="26"/>
        </w:rPr>
        <w:t xml:space="preserve">);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tabs>
          <w:tab w:val="left" w:pos="90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• Товарной(</w:t>
      </w:r>
      <w:r>
        <w:rPr>
          <w:sz w:val="26"/>
          <w:szCs w:val="26"/>
        </w:rPr>
        <w:t xml:space="preserve">ых</w:t>
      </w:r>
      <w:r>
        <w:rPr>
          <w:sz w:val="26"/>
          <w:szCs w:val="26"/>
        </w:rPr>
        <w:t xml:space="preserve">) накладной(</w:t>
      </w:r>
      <w:r>
        <w:rPr>
          <w:sz w:val="26"/>
          <w:szCs w:val="26"/>
        </w:rPr>
        <w:t xml:space="preserve">ых</w:t>
      </w:r>
      <w:r>
        <w:rPr>
          <w:sz w:val="26"/>
          <w:szCs w:val="26"/>
        </w:rPr>
        <w:t xml:space="preserve">) </w:t>
      </w:r>
      <w:r>
        <w:rPr>
          <w:color w:val="000000"/>
          <w:sz w:val="26"/>
          <w:szCs w:val="26"/>
        </w:rPr>
        <w:t xml:space="preserve">унифицированной</w:t>
      </w:r>
      <w:r>
        <w:rPr>
          <w:sz w:val="26"/>
          <w:szCs w:val="26"/>
        </w:rPr>
        <w:t xml:space="preserve"> формы ТОРГ-12 или УПД.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72"/>
        <w:numPr>
          <w:ilvl w:val="1"/>
          <w:numId w:val="7"/>
        </w:numPr>
        <w:ind w:left="0" w:firstLine="709"/>
        <w:jc w:val="both"/>
        <w:shd w:val="clear" w:color="auto" w:fill="ffffff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6"/>
          <w:szCs w:val="26"/>
          <w:highlight w:val="none"/>
        </w:rPr>
        <w:t xml:space="preserve">П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highlight w:val="white"/>
        </w:rPr>
        <w:t xml:space="preserve">оставщик представляет Покупателю счет-фактуру, выставленный в сроки и оформленный в соответствии и в порядке, предусмотренном действующим законодательством РФ о налогах и сборах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highlight w:val="none"/>
        </w:rPr>
        <w:t xml:space="preserve">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pStyle w:val="972"/>
        <w:numPr>
          <w:ilvl w:val="1"/>
          <w:numId w:val="7"/>
        </w:numPr>
        <w:ind w:left="0" w:firstLine="709"/>
        <w:jc w:val="both"/>
        <w:shd w:val="clear" w:color="auto" w:fill="ffffff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Днем осуществления платежа по Договору считается дата списания денежных средств с корреспондентского счет</w:t>
      </w:r>
      <w:r>
        <w:rPr>
          <w:color w:val="000000"/>
          <w:sz w:val="26"/>
          <w:szCs w:val="26"/>
        </w:rPr>
        <w:t xml:space="preserve">а банка, обслуживающего расчетный счет Покупателя.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hd w:val="clear" w:color="auto" w:fill="ffffff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В случае возникновения претензий Покупателя в отношении качества, комплектности, количества и/или ассортимента поставленного Товара, Покупатель в течение 2 (двух) рабочих дней, вправе после письменного уве</w:t>
      </w:r>
      <w:r>
        <w:rPr>
          <w:color w:val="000000"/>
          <w:sz w:val="26"/>
          <w:szCs w:val="26"/>
        </w:rPr>
        <w:t xml:space="preserve">домления , направленного в адрес Поставщика средствами факсимильной/электронной связи приостановить исполнение обязательства по оплате на период с момента обнаружения нарушения условий о качестве, комплектности, количестве и/или ассортименте и до момента у</w:t>
      </w:r>
      <w:r>
        <w:rPr>
          <w:color w:val="000000"/>
          <w:sz w:val="26"/>
          <w:szCs w:val="26"/>
        </w:rPr>
        <w:t xml:space="preserve">странения выявленных нарушений Поставщиком. При этом Покупатель не несет ответственности за задержку оплаты за поставленный Товар.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hd w:val="clear" w:color="auto" w:fill="ffffff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Поставщик не позднее 5 числа месяца, следующего за отчетным кварталом, направляет в адрес Покупателя, оформленный со своей ст</w:t>
      </w:r>
      <w:r>
        <w:rPr>
          <w:color w:val="000000"/>
          <w:sz w:val="26"/>
          <w:szCs w:val="26"/>
        </w:rPr>
        <w:t xml:space="preserve">ороны акт сверки. Покупатель в течение 5 рабочих дней с момента получения акта сверки, производит сверку расчетов между Сторонами, при необходимости оформляет протокол разногласий и возвращает Поставщику один экземпляр надлежаще оформленного акта.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numPr>
          <w:ilvl w:val="0"/>
          <w:numId w:val="2"/>
        </w:numPr>
        <w:ind w:left="357" w:hanging="357"/>
        <w:jc w:val="center"/>
        <w:spacing w:before="120" w:after="120"/>
        <w:shd w:val="clear" w:color="auto" w:fill="ffffff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Качество</w:t>
      </w:r>
      <w:r>
        <w:rPr>
          <w:b/>
          <w:color w:val="000000"/>
          <w:sz w:val="26"/>
          <w:szCs w:val="26"/>
        </w:rPr>
        <w:t xml:space="preserve"> и комплектность</w:t>
      </w:r>
      <w:r>
        <w:rPr>
          <w:b/>
          <w:color w:val="000000"/>
          <w:sz w:val="26"/>
          <w:szCs w:val="26"/>
        </w:rPr>
      </w:r>
      <w:r>
        <w:rPr>
          <w:b/>
          <w:color w:val="000000"/>
          <w:sz w:val="26"/>
          <w:szCs w:val="26"/>
        </w:rPr>
      </w:r>
    </w:p>
    <w:p>
      <w:pPr>
        <w:numPr>
          <w:ilvl w:val="1"/>
          <w:numId w:val="3"/>
        </w:numPr>
        <w:ind w:left="0" w:firstLine="709"/>
        <w:jc w:val="both"/>
        <w:shd w:val="clear" w:color="auto" w:fill="ffffff"/>
        <w:tabs>
          <w:tab w:val="num" w:pos="0" w:leader="none"/>
          <w:tab w:val="clear" w:pos="1080" w:leader="none"/>
        </w:tabs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Качество и комплектность поставляемого Товара должны соответствовать требованиям Покупателя, государственным стандартам (техническим регламентам), техническим условиям или другой нормативно - технической документации на русском языке.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720" w:leader="none"/>
          <w:tab w:val="clear" w:pos="1080" w:leader="none"/>
        </w:tabs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Поставщик обязан одновременно с передачей каждой партии Товара передать Покупателю (грузополучателю) его принадлежности, а также относящиеся к нему документы, оформленные надлежащим образом: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numPr>
          <w:ilvl w:val="0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left" w:pos="900" w:leader="none"/>
          <w:tab w:val="clear" w:pos="1287" w:leader="none"/>
        </w:tabs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Упаковочный лист на каждую партию отгруженного Товара;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numPr>
          <w:ilvl w:val="0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left" w:pos="900" w:leader="none"/>
          <w:tab w:val="clear" w:pos="1287" w:leader="none"/>
        </w:tabs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Иные докум</w:t>
      </w:r>
      <w:r>
        <w:rPr>
          <w:color w:val="000000"/>
          <w:sz w:val="26"/>
          <w:szCs w:val="26"/>
        </w:rPr>
        <w:t xml:space="preserve">енты (Сертификат соответствия, Сертификат безопасности, Сертификат пожаробезопасности, Сертификат радиологической безопасности, Санитарный сертификат, Лицензии и т.п.) в зависимости от номенклатуры поставляемого Товара;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numPr>
          <w:ilvl w:val="0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left" w:pos="900" w:leader="none"/>
          <w:tab w:val="clear" w:pos="1287" w:leader="none"/>
        </w:tabs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Оригиналы товарной накладной унифици</w:t>
      </w:r>
      <w:r>
        <w:rPr>
          <w:color w:val="000000"/>
          <w:sz w:val="26"/>
          <w:szCs w:val="26"/>
        </w:rPr>
        <w:t xml:space="preserve">рованной формы ТОРГ-12 или УПД.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720" w:leader="none"/>
          <w:tab w:val="clear" w:pos="1080" w:leader="none"/>
        </w:tabs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Товаросопроводительные документы должны быть оформлены на имя Покупателя. В случае отсутствия необходимых документов Покупатель (грузополучатель) уведомляет об этом Поставщика. Поставщик обязан в течение 2 (двух) календарных</w:t>
      </w:r>
      <w:r>
        <w:rPr>
          <w:color w:val="000000"/>
          <w:sz w:val="26"/>
          <w:szCs w:val="26"/>
        </w:rPr>
        <w:t xml:space="preserve"> дней с момента получения данного уведомления, но не позднее 7-</w:t>
      </w:r>
      <w:r>
        <w:rPr>
          <w:color w:val="000000"/>
          <w:sz w:val="26"/>
          <w:szCs w:val="26"/>
        </w:rPr>
        <w:t xml:space="preserve">го числа месяца, следующим за месяцем, в котором была осуществлена поставка Товара, представить недостающие документы Покупателю (грузополучателю), что не освобождает Поставщика от ответственно</w:t>
      </w:r>
      <w:r>
        <w:rPr>
          <w:color w:val="000000"/>
          <w:sz w:val="26"/>
          <w:szCs w:val="26"/>
        </w:rPr>
        <w:t xml:space="preserve">сти, предусмотренной п. 7.3. настоящего Договора за нарушение срока поставки.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720" w:leader="none"/>
          <w:tab w:val="clear" w:pos="1080" w:leader="none"/>
        </w:tabs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В случае, когда принадлежности или документы, относящиеся к Товару, не переданы Поставщиком в указанный срок или/и не предоставлены с Товаром, Покупатель вправе отказаться от Тов</w:t>
      </w:r>
      <w:r>
        <w:rPr>
          <w:color w:val="000000"/>
          <w:sz w:val="26"/>
          <w:szCs w:val="26"/>
        </w:rPr>
        <w:t xml:space="preserve">ара.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720" w:leader="none"/>
          <w:tab w:val="clear" w:pos="1080" w:leader="none"/>
        </w:tabs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  <w:r>
        <w:rPr>
          <w:iCs/>
          <w:sz w:val="26"/>
          <w:szCs w:val="26"/>
        </w:rPr>
        <w:t xml:space="preserve">Гарантийные обязательства должны соответствовать гарантийному сроку завода-изготовителя, указанному в декларации соответствия Товара, и составлять не менее 12 месяцев на товар с момента подписания "Товарной накладной унифицированн</w:t>
      </w:r>
      <w:r>
        <w:rPr>
          <w:iCs/>
          <w:sz w:val="26"/>
          <w:szCs w:val="26"/>
        </w:rPr>
        <w:t xml:space="preserve">ой формы ТОРГ-12".  </w:t>
      </w:r>
      <w:r>
        <w:rPr>
          <w:iCs/>
          <w:sz w:val="26"/>
          <w:szCs w:val="26"/>
        </w:rPr>
        <w:t xml:space="preserve">Товар должен поставляться вместе с комплектом товаросопроводительной документации и должен быть чётко маркирован </w:t>
      </w:r>
      <w:r>
        <w:rPr>
          <w:iCs/>
          <w:sz w:val="26"/>
          <w:szCs w:val="26"/>
        </w:rPr>
        <w:t xml:space="preserve">и определяем.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ind w:firstLine="720"/>
        <w:jc w:val="both"/>
        <w:rPr>
          <w:iCs/>
        </w:rPr>
      </w:pPr>
      <w:r>
        <w:rPr>
          <w:iCs/>
          <w:sz w:val="26"/>
          <w:szCs w:val="26"/>
        </w:rPr>
        <w:t xml:space="preserve">В случае если гарантийный срок завода-изготовителя составляет менее 12 месяцев, Поставщик принимает на себя обязательства по дополнительному гарантийному обслуживанию за свой счет, до момента наступления указанного срока. </w:t>
      </w:r>
      <w:r>
        <w:rPr>
          <w:iCs/>
        </w:rPr>
      </w:r>
      <w:r>
        <w:rPr>
          <w:iCs/>
        </w:rPr>
      </w:r>
    </w:p>
    <w:p>
      <w:pPr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720" w:leader="none"/>
          <w:tab w:val="clear" w:pos="1080" w:leader="none"/>
        </w:tabs>
        <w:rPr>
          <w:color w:val="000000"/>
          <w:sz w:val="26"/>
          <w:szCs w:val="26"/>
        </w:rPr>
      </w:pPr>
      <w:r>
        <w:rPr>
          <w:rFonts w:eastAsiaTheme="minorEastAsia"/>
          <w:color w:val="000000"/>
          <w:sz w:val="26"/>
          <w:szCs w:val="26"/>
        </w:rPr>
        <w:t xml:space="preserve">В случае, если при внутри тарной приемке Товаров, в течение гарантийного срока в Товаре или любой его части будут обнаружены любые дефекты, повреждения, несоответствия (недостатки), Покупатель обязан в разумный ср</w:t>
      </w:r>
      <w:r>
        <w:rPr>
          <w:rFonts w:eastAsiaTheme="minorEastAsia"/>
          <w:color w:val="000000"/>
          <w:sz w:val="26"/>
          <w:szCs w:val="26"/>
        </w:rPr>
        <w:t xml:space="preserve">ок направить Поставщику уведомление, в котором указывается, что Поставщик по выбору Покупателя: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numPr>
          <w:ilvl w:val="0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left" w:pos="900" w:leader="none"/>
          <w:tab w:val="clear" w:pos="1287" w:leader="none"/>
        </w:tabs>
        <w:rPr>
          <w:color w:val="000000"/>
          <w:sz w:val="26"/>
          <w:szCs w:val="26"/>
        </w:rPr>
      </w:pPr>
      <w:r>
        <w:rPr>
          <w:rFonts w:eastAsiaTheme="minorEastAsia"/>
          <w:color w:val="000000"/>
          <w:sz w:val="26"/>
          <w:szCs w:val="26"/>
        </w:rPr>
        <w:t xml:space="preserve">производит за свой счет замену Товара;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numPr>
          <w:ilvl w:val="0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left" w:pos="900" w:leader="none"/>
          <w:tab w:val="clear" w:pos="1287" w:leader="none"/>
        </w:tabs>
        <w:rPr>
          <w:color w:val="000000"/>
          <w:sz w:val="26"/>
          <w:szCs w:val="26"/>
        </w:rPr>
      </w:pPr>
      <w:r>
        <w:rPr>
          <w:rFonts w:eastAsiaTheme="minorEastAsia"/>
          <w:color w:val="000000"/>
          <w:sz w:val="26"/>
          <w:szCs w:val="26"/>
        </w:rPr>
        <w:t xml:space="preserve">возвращает Покупателю стоимость Товара;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numPr>
          <w:ilvl w:val="0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left" w:pos="900" w:leader="none"/>
          <w:tab w:val="clear" w:pos="1287" w:leader="none"/>
        </w:tabs>
        <w:rPr>
          <w:color w:val="000000"/>
          <w:sz w:val="26"/>
          <w:szCs w:val="26"/>
        </w:rPr>
      </w:pPr>
      <w:r>
        <w:rPr>
          <w:rFonts w:eastAsiaTheme="minorEastAsia"/>
          <w:color w:val="000000"/>
          <w:sz w:val="26"/>
          <w:szCs w:val="26"/>
        </w:rPr>
        <w:t xml:space="preserve">возмещает Покупателю расходы, связанные с устранением недостатков Товара.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720" w:leader="none"/>
          <w:tab w:val="clear" w:pos="1080" w:leader="none"/>
        </w:tabs>
        <w:rPr>
          <w:color w:val="000000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В течение гарантийного срока Поставщик гарантирует исправную и полнофункциональную работу Товара в соответствии с техническим требованиями к нему, установленными Договором, и возможность его использования по назначению. 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numPr>
          <w:ilvl w:val="0"/>
          <w:numId w:val="2"/>
        </w:numPr>
        <w:ind w:left="357" w:hanging="357"/>
        <w:jc w:val="center"/>
        <w:spacing w:before="120" w:after="120"/>
        <w:shd w:val="clear" w:color="auto" w:fill="ffffff"/>
        <w:rPr>
          <w:b/>
          <w:color w:val="000000"/>
          <w:sz w:val="26"/>
          <w:szCs w:val="26"/>
        </w:rPr>
      </w:pPr>
      <w:r>
        <w:rPr>
          <w:rFonts w:eastAsiaTheme="minorEastAsia"/>
          <w:b/>
          <w:color w:val="000000"/>
          <w:sz w:val="26"/>
          <w:szCs w:val="26"/>
        </w:rPr>
        <w:t xml:space="preserve">Тара, упаковка, маркировка</w:t>
      </w:r>
      <w:r>
        <w:rPr>
          <w:b/>
          <w:color w:val="000000"/>
          <w:sz w:val="26"/>
          <w:szCs w:val="26"/>
        </w:rPr>
      </w:r>
      <w:r>
        <w:rPr>
          <w:b/>
          <w:color w:val="000000"/>
          <w:sz w:val="26"/>
          <w:szCs w:val="26"/>
        </w:rPr>
      </w:r>
    </w:p>
    <w:p>
      <w:pPr>
        <w:numPr>
          <w:ilvl w:val="1"/>
          <w:numId w:val="2"/>
        </w:numPr>
        <w:ind w:left="0" w:firstLine="709"/>
        <w:jc w:val="both"/>
        <w:shd w:val="clear" w:color="auto" w:fill="ffffff"/>
        <w:tabs>
          <w:tab w:val="left" w:pos="720" w:leader="none"/>
        </w:tabs>
        <w:rPr>
          <w:color w:val="000000"/>
          <w:sz w:val="26"/>
          <w:szCs w:val="26"/>
        </w:rPr>
      </w:pPr>
      <w:r>
        <w:rPr>
          <w:rFonts w:eastAsiaTheme="minorEastAsia"/>
          <w:color w:val="000000"/>
          <w:sz w:val="26"/>
          <w:szCs w:val="26"/>
        </w:rPr>
        <w:t xml:space="preserve">Товар, поставляемый по настоящему Договору, должен отгружаться Поставщиком в таре и упаковке, с использованием средств пакетирования, соответствующих характеру поставляемого Товара. При этом упаковка должна обеспечивать полную сохранность Товара от всякого</w:t>
      </w:r>
      <w:r>
        <w:rPr>
          <w:rFonts w:eastAsiaTheme="minorEastAsia"/>
          <w:color w:val="000000"/>
          <w:sz w:val="26"/>
          <w:szCs w:val="26"/>
        </w:rPr>
        <w:t xml:space="preserve"> рода повреждений и порчи при его перевозке с учетом возможных перегрузок и длительного хранения.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numPr>
          <w:ilvl w:val="1"/>
          <w:numId w:val="2"/>
        </w:numPr>
        <w:ind w:left="0" w:firstLine="709"/>
        <w:jc w:val="both"/>
        <w:shd w:val="clear" w:color="auto" w:fill="ffffff"/>
        <w:tabs>
          <w:tab w:val="left" w:pos="720" w:leader="none"/>
        </w:tabs>
        <w:rPr>
          <w:color w:val="000000"/>
          <w:sz w:val="26"/>
          <w:szCs w:val="26"/>
        </w:rPr>
      </w:pPr>
      <w:r>
        <w:rPr>
          <w:rFonts w:eastAsiaTheme="minorEastAsia"/>
          <w:color w:val="000000"/>
          <w:sz w:val="26"/>
          <w:szCs w:val="26"/>
        </w:rPr>
        <w:t xml:space="preserve">В случае если по своему характеру Товар не требует затаривания и (или) упаковки и (или) применения средств пакетирования, Поставщик отгружает его без применен</w:t>
      </w:r>
      <w:r>
        <w:rPr>
          <w:rFonts w:eastAsiaTheme="minorEastAsia"/>
          <w:color w:val="000000"/>
          <w:sz w:val="26"/>
          <w:szCs w:val="26"/>
        </w:rPr>
        <w:t xml:space="preserve">ия этих средств.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numPr>
          <w:ilvl w:val="1"/>
          <w:numId w:val="2"/>
        </w:numPr>
        <w:ind w:left="0" w:firstLine="709"/>
        <w:jc w:val="both"/>
        <w:shd w:val="clear" w:color="auto" w:fill="ffffff"/>
        <w:tabs>
          <w:tab w:val="left" w:pos="720" w:leader="none"/>
        </w:tabs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eastAsiaTheme="minorEastAsia"/>
          <w:color w:val="000000"/>
          <w:sz w:val="26"/>
          <w:szCs w:val="26"/>
        </w:rPr>
        <w:t xml:space="preserve">Стоимость тары, упаковки включена в цену Товара</w:t>
      </w:r>
      <w:r>
        <w:rPr>
          <w:rFonts w:eastAsiaTheme="minorEastAsia"/>
          <w:i/>
          <w:color w:val="000000"/>
          <w:sz w:val="26"/>
          <w:szCs w:val="26"/>
        </w:rPr>
        <w:t xml:space="preserve">. </w:t>
      </w:r>
      <w:r>
        <w:rPr>
          <w:rFonts w:eastAsiaTheme="minorEastAsia"/>
          <w:color w:val="000000"/>
          <w:sz w:val="26"/>
          <w:szCs w:val="26"/>
        </w:rPr>
        <w:t xml:space="preserve">Тара, упаковка возврату не п</w:t>
      </w:r>
      <w:r>
        <w:rPr>
          <w:rFonts w:ascii="Times New Roman" w:hAnsi="Times New Roman" w:eastAsia="Times New Roman" w:cs="Times New Roman" w:eastAsiaTheme="minorEastAsia"/>
          <w:color w:val="000000"/>
          <w:sz w:val="26"/>
          <w:szCs w:val="26"/>
        </w:rPr>
        <w:t xml:space="preserve">одлежит.</w:t>
      </w:r>
      <w:r>
        <w:rPr>
          <w:rFonts w:ascii="Times New Roman" w:hAnsi="Times New Roman" w:cs="Times New Roman"/>
          <w:color w:val="000000"/>
          <w:sz w:val="26"/>
          <w:szCs w:val="26"/>
        </w:rPr>
      </w:r>
      <w:r>
        <w:rPr>
          <w:rFonts w:ascii="Times New Roman" w:hAnsi="Times New Roman" w:cs="Times New Roman"/>
          <w:color w:val="000000"/>
          <w:sz w:val="26"/>
          <w:szCs w:val="26"/>
        </w:rPr>
      </w:r>
    </w:p>
    <w:p>
      <w:pPr>
        <w:numPr>
          <w:ilvl w:val="1"/>
          <w:numId w:val="2"/>
        </w:numPr>
        <w:ind w:left="0" w:firstLine="709"/>
        <w:jc w:val="both"/>
        <w:shd w:val="clear" w:color="auto" w:fill="ffffff"/>
        <w:tabs>
          <w:tab w:val="left" w:pos="720" w:leader="none"/>
          <w:tab w:val="clear" w:pos="792" w:leader="none"/>
        </w:tabs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color w:val="000000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6"/>
          <w:szCs w:val="26"/>
          <w:highlight w:val="white"/>
        </w:rPr>
        <w:t xml:space="preserve">Переход </w:t>
      </w:r>
      <w:r>
        <w:rPr>
          <w:rFonts w:ascii="Times New Roman" w:hAnsi="Times New Roman" w:eastAsia="Times New Roman" w:cs="Times New Roman" w:eastAsiaTheme="minorEastAsia"/>
          <w:color w:val="000000"/>
          <w:sz w:val="26"/>
          <w:szCs w:val="26"/>
        </w:rPr>
        <w:t xml:space="preserve">права 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highlight w:val="white"/>
        </w:rPr>
        <w:t xml:space="preserve">собственности и риск случайной гибели или повреждения товара переходит к Покупателю с момента фактической передачи товара Покупателя на основании товарно-сопроводительных документов.</w:t>
      </w:r>
      <w:r>
        <w:rPr>
          <w:rFonts w:ascii="Times New Roman" w:hAnsi="Times New Roman" w:cs="Times New Roman"/>
          <w:color w:val="000000"/>
          <w:sz w:val="26"/>
          <w:szCs w:val="26"/>
        </w:rPr>
      </w:r>
      <w:r>
        <w:rPr>
          <w:rFonts w:ascii="Times New Roman" w:hAnsi="Times New Roman" w:cs="Times New Roman"/>
          <w:color w:val="000000"/>
          <w:sz w:val="26"/>
          <w:szCs w:val="26"/>
        </w:rPr>
      </w:r>
    </w:p>
    <w:p>
      <w:pPr>
        <w:numPr>
          <w:ilvl w:val="0"/>
          <w:numId w:val="2"/>
        </w:numPr>
        <w:ind w:left="357" w:hanging="357"/>
        <w:jc w:val="center"/>
        <w:spacing w:before="120" w:after="120"/>
        <w:shd w:val="clear" w:color="auto" w:fill="ffffff"/>
        <w:rPr>
          <w:color w:val="000000"/>
          <w:sz w:val="26"/>
          <w:szCs w:val="26"/>
        </w:rPr>
      </w:pPr>
      <w:r>
        <w:rPr>
          <w:rFonts w:eastAsiaTheme="minorEastAsia"/>
          <w:b/>
          <w:color w:val="000000"/>
          <w:sz w:val="26"/>
          <w:szCs w:val="26"/>
        </w:rPr>
        <w:t xml:space="preserve">Сроки, порядок и условия поставки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numPr>
          <w:ilvl w:val="1"/>
          <w:numId w:val="2"/>
        </w:numPr>
        <w:ind w:left="0" w:firstLine="709"/>
        <w:jc w:val="both"/>
        <w:shd w:val="clear" w:color="auto" w:fill="ffffff"/>
        <w:tabs>
          <w:tab w:val="left" w:pos="720" w:leader="none"/>
        </w:tabs>
        <w:rPr>
          <w:color w:val="000000"/>
          <w:sz w:val="26"/>
          <w:szCs w:val="26"/>
        </w:rPr>
      </w:pPr>
      <w:r>
        <w:rPr>
          <w:rFonts w:eastAsiaTheme="minorEastAsia"/>
          <w:color w:val="000000"/>
          <w:sz w:val="26"/>
          <w:szCs w:val="26"/>
        </w:rPr>
        <w:t xml:space="preserve">Срок поставки Товара не более 14 (четырнадцати)  календарных дней с момента получения письменной заявки Покупателя, напр</w:t>
      </w:r>
      <w:r>
        <w:rPr>
          <w:rFonts w:eastAsiaTheme="minorEastAsia"/>
          <w:color w:val="000000"/>
          <w:sz w:val="26"/>
          <w:szCs w:val="26"/>
        </w:rPr>
        <w:t xml:space="preserve">авленной в адрес Поставщика средствами факсимильной/электронной связи. С согласия Покупателя допускается досрочная поставка Товара.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numPr>
          <w:ilvl w:val="1"/>
          <w:numId w:val="2"/>
        </w:numPr>
        <w:ind w:left="0" w:firstLine="709"/>
        <w:jc w:val="both"/>
        <w:shd w:val="clear" w:color="auto" w:fill="ffffff"/>
        <w:tabs>
          <w:tab w:val="left" w:pos="720" w:leader="none"/>
        </w:tabs>
        <w:rPr>
          <w:color w:val="000000"/>
          <w:sz w:val="26"/>
          <w:szCs w:val="26"/>
        </w:rPr>
      </w:pPr>
      <w:r>
        <w:rPr>
          <w:rFonts w:eastAsiaTheme="minorEastAsia"/>
          <w:color w:val="000000"/>
          <w:sz w:val="26"/>
          <w:szCs w:val="26"/>
        </w:rPr>
        <w:t xml:space="preserve">Поставщик обязан направить в адрес Покупателя средствами факсимильной/электронной связи, указанных в разделе 1</w:t>
      </w:r>
      <w:r>
        <w:rPr>
          <w:rFonts w:eastAsiaTheme="minorEastAsia"/>
          <w:color w:val="000000"/>
          <w:sz w:val="26"/>
          <w:szCs w:val="26"/>
        </w:rPr>
        <w:t xml:space="preserve">6 настоящего До</w:t>
      </w:r>
      <w:r>
        <w:rPr>
          <w:rFonts w:eastAsiaTheme="minorEastAsia"/>
          <w:color w:val="000000"/>
          <w:sz w:val="26"/>
          <w:szCs w:val="26"/>
        </w:rPr>
        <w:t xml:space="preserve">говора с последующим направлением уведомления на бланке организации информацию о предполагаемой дате поставки Товара (частей Товара) в офис Покупателя</w:t>
      </w:r>
      <w:r>
        <w:rPr>
          <w:rFonts w:eastAsiaTheme="minorEastAsia"/>
          <w:i/>
          <w:color w:val="000000"/>
          <w:sz w:val="26"/>
          <w:szCs w:val="26"/>
        </w:rPr>
        <w:t xml:space="preserve"> </w:t>
      </w:r>
      <w:r>
        <w:rPr>
          <w:rFonts w:eastAsiaTheme="minorEastAsia"/>
          <w:color w:val="000000"/>
          <w:sz w:val="26"/>
          <w:szCs w:val="26"/>
        </w:rPr>
        <w:t xml:space="preserve">не позднее, чем за 5 (пять) рабочих дней до даты такой поставки.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numPr>
          <w:ilvl w:val="1"/>
          <w:numId w:val="2"/>
        </w:numPr>
        <w:ind w:left="0" w:firstLine="709"/>
        <w:jc w:val="both"/>
        <w:shd w:val="clear" w:color="auto" w:fill="ffffff"/>
        <w:tabs>
          <w:tab w:val="left" w:pos="720" w:leader="none"/>
        </w:tabs>
        <w:rPr>
          <w:color w:val="000000"/>
          <w:sz w:val="26"/>
          <w:szCs w:val="26"/>
        </w:rPr>
      </w:pPr>
      <w:r>
        <w:rPr>
          <w:rFonts w:eastAsiaTheme="minorEastAsia"/>
          <w:color w:val="000000"/>
          <w:sz w:val="26"/>
          <w:szCs w:val="26"/>
        </w:rPr>
        <w:t xml:space="preserve">Право собственности и риск случайного по</w:t>
      </w:r>
      <w:r>
        <w:rPr>
          <w:rFonts w:eastAsiaTheme="minorEastAsia"/>
          <w:color w:val="000000"/>
          <w:sz w:val="26"/>
          <w:szCs w:val="26"/>
        </w:rPr>
        <w:t xml:space="preserve">вреждения, гибели Товара переходит от Поставщика к Покупателю с момента подписания Товарной накладной </w:t>
      </w:r>
      <w:r>
        <w:rPr>
          <w:rFonts w:eastAsiaTheme="minorEastAsia"/>
          <w:color w:val="000000"/>
          <w:sz w:val="26"/>
          <w:szCs w:val="26"/>
        </w:rPr>
        <w:t xml:space="preserve">унифицированной формы ТОРГ-12 или УПД.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numPr>
          <w:ilvl w:val="1"/>
          <w:numId w:val="2"/>
        </w:numPr>
        <w:ind w:left="0" w:firstLine="709"/>
        <w:jc w:val="both"/>
        <w:shd w:val="clear" w:color="auto" w:fill="ffffff"/>
        <w:tabs>
          <w:tab w:val="left" w:pos="720" w:leader="none"/>
        </w:tabs>
        <w:rPr>
          <w:color w:val="000000"/>
          <w:sz w:val="26"/>
          <w:szCs w:val="26"/>
        </w:rPr>
      </w:pPr>
      <w:r>
        <w:rPr>
          <w:rFonts w:eastAsiaTheme="minorEastAsia"/>
          <w:color w:val="000000"/>
          <w:sz w:val="26"/>
          <w:szCs w:val="26"/>
        </w:rPr>
        <w:t xml:space="preserve">В случае неприбытия Товара в пункт назначения в течение 30 (тридцати) дней с даты уведомления об отгрузке, Поставщи</w:t>
      </w:r>
      <w:r>
        <w:rPr>
          <w:rFonts w:eastAsiaTheme="minorEastAsia"/>
          <w:color w:val="000000"/>
          <w:sz w:val="26"/>
          <w:szCs w:val="26"/>
        </w:rPr>
        <w:t xml:space="preserve">к за свой счет принимает меры по его розыску.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numPr>
          <w:ilvl w:val="1"/>
          <w:numId w:val="2"/>
        </w:numPr>
        <w:ind w:left="0" w:firstLine="709"/>
        <w:jc w:val="both"/>
        <w:shd w:val="clear" w:color="auto" w:fill="ffffff"/>
        <w:tabs>
          <w:tab w:val="left" w:pos="720" w:leader="none"/>
        </w:tabs>
        <w:rPr>
          <w:color w:val="000000"/>
          <w:sz w:val="26"/>
          <w:szCs w:val="26"/>
        </w:rPr>
      </w:pPr>
      <w:r>
        <w:rPr>
          <w:rFonts w:eastAsiaTheme="minorEastAsia"/>
          <w:color w:val="000000"/>
          <w:sz w:val="26"/>
          <w:szCs w:val="26"/>
        </w:rPr>
        <w:t xml:space="preserve">В случае если документы первичной отчетности оформлены не по форме и/или оформлены не полностью (отсутствуют обязательные реквизиты, заполнены не все поля, разделы), либо оформлены с ошибками, либо предоставлен</w:t>
      </w:r>
      <w:r>
        <w:rPr>
          <w:rFonts w:eastAsiaTheme="minorEastAsia"/>
          <w:color w:val="000000"/>
          <w:sz w:val="26"/>
          <w:szCs w:val="26"/>
        </w:rPr>
        <w:t xml:space="preserve">ы не в полном объеме, то Покупатель вправе вернуть такие документы Поставщику на переоформление, не принимать и не оплачивать поставленные Товары на время переоформления Поставщиком таких документов, что не освобождает Поставщика от ответственности за прос</w:t>
      </w:r>
      <w:r>
        <w:rPr>
          <w:rFonts w:eastAsiaTheme="minorEastAsia"/>
          <w:color w:val="000000"/>
          <w:sz w:val="26"/>
          <w:szCs w:val="26"/>
        </w:rPr>
        <w:t xml:space="preserve">рочку срока поставки Товара. Поставщик должен переоформить документы первичной отчетности в течение 3 (трех) рабочих дней и направить в адрес Поставщика средствами факсимильной/электронной связи.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numPr>
          <w:ilvl w:val="1"/>
          <w:numId w:val="2"/>
        </w:numPr>
        <w:ind w:left="0" w:firstLine="709"/>
        <w:jc w:val="both"/>
        <w:shd w:val="clear" w:color="auto" w:fill="ffffff"/>
        <w:tabs>
          <w:tab w:val="left" w:pos="720" w:leader="none"/>
        </w:tabs>
        <w:rPr>
          <w:color w:val="000000"/>
          <w:sz w:val="26"/>
          <w:szCs w:val="26"/>
        </w:rPr>
      </w:pPr>
      <w:r>
        <w:rPr>
          <w:rFonts w:eastAsiaTheme="minorEastAsia"/>
          <w:color w:val="000000"/>
          <w:sz w:val="26"/>
          <w:szCs w:val="26"/>
        </w:rPr>
        <w:t xml:space="preserve">Поставщик, допустивший недопоставку Товара, обязан восполнит</w:t>
      </w:r>
      <w:r>
        <w:rPr>
          <w:rFonts w:eastAsiaTheme="minorEastAsia"/>
          <w:color w:val="000000"/>
          <w:sz w:val="26"/>
          <w:szCs w:val="26"/>
        </w:rPr>
        <w:t xml:space="preserve">ь недопоставленное количество в течение десяти дней с момента обнаружения недопоставки.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numPr>
          <w:ilvl w:val="1"/>
          <w:numId w:val="2"/>
        </w:numPr>
        <w:ind w:left="0" w:firstLine="709"/>
        <w:jc w:val="both"/>
        <w:shd w:val="clear" w:color="auto" w:fill="ffffff"/>
        <w:tabs>
          <w:tab w:val="left" w:pos="720" w:leader="none"/>
        </w:tabs>
        <w:rPr>
          <w:color w:val="000000"/>
          <w:sz w:val="26"/>
          <w:szCs w:val="26"/>
        </w:rPr>
      </w:pPr>
      <w:r>
        <w:rPr>
          <w:rFonts w:eastAsiaTheme="minorEastAsia"/>
          <w:color w:val="000000"/>
          <w:sz w:val="26"/>
          <w:szCs w:val="26"/>
        </w:rPr>
        <w:t xml:space="preserve">Покупатель вправе, уведомив Поставщика, отказаться от принятия Товара, поставка которого просрочена.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numPr>
          <w:ilvl w:val="0"/>
          <w:numId w:val="2"/>
        </w:numPr>
        <w:ind w:left="357" w:hanging="357"/>
        <w:jc w:val="center"/>
        <w:spacing w:before="120" w:after="120"/>
        <w:shd w:val="clear" w:color="auto" w:fill="ffffff"/>
        <w:rPr>
          <w:b/>
          <w:color w:val="000000"/>
          <w:sz w:val="26"/>
          <w:szCs w:val="26"/>
        </w:rPr>
      </w:pPr>
      <w:r>
        <w:rPr>
          <w:rFonts w:eastAsiaTheme="minorEastAsia"/>
          <w:b/>
          <w:color w:val="000000"/>
          <w:sz w:val="26"/>
          <w:szCs w:val="26"/>
        </w:rPr>
        <w:t xml:space="preserve">Приемка по количеству и качеству</w:t>
      </w:r>
      <w:r>
        <w:rPr>
          <w:b/>
          <w:color w:val="000000"/>
          <w:sz w:val="26"/>
          <w:szCs w:val="26"/>
        </w:rPr>
      </w:r>
      <w:r>
        <w:rPr>
          <w:b/>
          <w:color w:val="000000"/>
          <w:sz w:val="26"/>
          <w:szCs w:val="26"/>
        </w:rPr>
      </w:r>
    </w:p>
    <w:p>
      <w:pPr>
        <w:numPr>
          <w:ilvl w:val="1"/>
          <w:numId w:val="2"/>
        </w:numPr>
        <w:ind w:left="0" w:firstLine="709"/>
        <w:jc w:val="both"/>
        <w:shd w:val="clear" w:color="auto" w:fill="ffffff"/>
        <w:tabs>
          <w:tab w:val="left" w:pos="720" w:leader="none"/>
        </w:tabs>
        <w:rPr>
          <w:color w:val="000000"/>
          <w:sz w:val="26"/>
          <w:szCs w:val="26"/>
        </w:rPr>
      </w:pPr>
      <w:r>
        <w:rPr>
          <w:rFonts w:eastAsiaTheme="minorEastAsia"/>
          <w:color w:val="000000"/>
          <w:sz w:val="26"/>
          <w:szCs w:val="26"/>
        </w:rPr>
        <w:t xml:space="preserve">Приемка Товара осуществляется Поку</w:t>
      </w:r>
      <w:r>
        <w:rPr>
          <w:rFonts w:eastAsiaTheme="minorEastAsia"/>
          <w:color w:val="000000"/>
          <w:sz w:val="26"/>
          <w:szCs w:val="26"/>
        </w:rPr>
        <w:t xml:space="preserve">пателем совместно с представителями Поставщика в следующем порядке.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numPr>
          <w:ilvl w:val="1"/>
          <w:numId w:val="2"/>
        </w:numPr>
        <w:ind w:left="0" w:firstLine="709"/>
        <w:jc w:val="both"/>
        <w:shd w:val="clear" w:color="auto" w:fill="ffffff"/>
        <w:tabs>
          <w:tab w:val="left" w:pos="720" w:leader="none"/>
        </w:tabs>
        <w:rPr>
          <w:color w:val="000000"/>
          <w:sz w:val="26"/>
          <w:szCs w:val="26"/>
        </w:rPr>
      </w:pPr>
      <w:r>
        <w:rPr>
          <w:rFonts w:eastAsiaTheme="minorEastAsia"/>
          <w:color w:val="000000"/>
          <w:sz w:val="26"/>
          <w:szCs w:val="26"/>
        </w:rPr>
        <w:t xml:space="preserve">Внешний осмотр тары и упаковки поставочных партий Товара с целью выявления наружных повреждений и проверки соответствия количества отгруженных и поступивших в офис Покупателя поставочных п</w:t>
      </w:r>
      <w:r>
        <w:rPr>
          <w:rFonts w:eastAsiaTheme="minorEastAsia"/>
          <w:color w:val="000000"/>
          <w:sz w:val="26"/>
          <w:szCs w:val="26"/>
        </w:rPr>
        <w:t xml:space="preserve">артий (частей) Товара выполняется Покупателем совместно с Поставщиком без нарушения целостности тары, упаковки и консервации в течение 5 (пяти) рабочих дней с даты начала такой приемки.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numPr>
          <w:ilvl w:val="1"/>
          <w:numId w:val="2"/>
        </w:numPr>
        <w:ind w:left="0" w:firstLine="709"/>
        <w:jc w:val="both"/>
        <w:shd w:val="clear" w:color="auto" w:fill="ffffff"/>
        <w:tabs>
          <w:tab w:val="left" w:pos="720" w:leader="none"/>
        </w:tabs>
        <w:rPr>
          <w:color w:val="000000"/>
          <w:sz w:val="26"/>
          <w:szCs w:val="26"/>
        </w:rPr>
      </w:pPr>
      <w:r>
        <w:rPr>
          <w:rFonts w:eastAsiaTheme="minorEastAsia"/>
          <w:color w:val="000000"/>
          <w:sz w:val="26"/>
          <w:szCs w:val="26"/>
        </w:rPr>
        <w:t xml:space="preserve">Приемка Товара производится по Товарной накладной унифицированной форм</w:t>
      </w:r>
      <w:r>
        <w:rPr>
          <w:rFonts w:eastAsiaTheme="minorEastAsia"/>
          <w:color w:val="000000"/>
          <w:sz w:val="26"/>
          <w:szCs w:val="26"/>
        </w:rPr>
        <w:t xml:space="preserve">ы ТОРГ-12 или УПД.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ind w:firstLine="709"/>
        <w:jc w:val="both"/>
        <w:shd w:val="clear" w:color="auto" w:fill="ffffff"/>
        <w:tabs>
          <w:tab w:val="left" w:pos="720" w:leader="none"/>
        </w:tabs>
        <w:rPr>
          <w:color w:val="000000"/>
          <w:sz w:val="26"/>
          <w:szCs w:val="26"/>
        </w:rPr>
      </w:pPr>
      <w:r>
        <w:rPr>
          <w:rFonts w:eastAsiaTheme="minorEastAsia"/>
          <w:color w:val="000000"/>
          <w:sz w:val="26"/>
          <w:szCs w:val="26"/>
        </w:rPr>
        <w:t xml:space="preserve">6.4.</w:t>
      </w:r>
      <w:r>
        <w:rPr>
          <w:rFonts w:eastAsiaTheme="minorEastAsia"/>
          <w:color w:val="000000"/>
          <w:sz w:val="26"/>
          <w:szCs w:val="26"/>
        </w:rPr>
        <w:tab/>
        <w:t xml:space="preserve">В течение 10 (десяти) календарных дней с даты получения, подписанных со стороны Поставщика оригиналов товарной накладной по форме ТОРГ-12 или УПД. Покупатель направляет Поставщику, подписанные со своей стороны, экземпляры указанных </w:t>
      </w:r>
      <w:r>
        <w:rPr>
          <w:rFonts w:eastAsiaTheme="minorEastAsia"/>
          <w:color w:val="000000"/>
          <w:sz w:val="26"/>
          <w:szCs w:val="26"/>
        </w:rPr>
        <w:t xml:space="preserve">оригиналов документов, либо предоставляет мотивированный отказ в приемке Товара с указанием дефектов и недостатков, выявленных в процессе приемки, а также с требованием об устранении Поставщиком указанных дефектов и неточностей в приемлемой для Покупателя </w:t>
      </w:r>
      <w:r>
        <w:rPr>
          <w:rFonts w:eastAsiaTheme="minorEastAsia"/>
          <w:color w:val="000000"/>
          <w:sz w:val="26"/>
          <w:szCs w:val="26"/>
        </w:rPr>
        <w:t xml:space="preserve">форме и сроки. 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ind w:firstLine="709"/>
        <w:jc w:val="both"/>
        <w:shd w:val="clear" w:color="auto" w:fill="ffffff"/>
        <w:tabs>
          <w:tab w:val="left" w:pos="720" w:leader="none"/>
        </w:tabs>
        <w:rPr>
          <w:color w:val="000000"/>
          <w:sz w:val="26"/>
          <w:szCs w:val="26"/>
        </w:rPr>
      </w:pPr>
      <w:r>
        <w:rPr>
          <w:rFonts w:eastAsiaTheme="minorEastAsia"/>
          <w:color w:val="000000"/>
          <w:sz w:val="26"/>
          <w:szCs w:val="26"/>
        </w:rPr>
        <w:t xml:space="preserve">6.5.</w:t>
      </w:r>
      <w:r>
        <w:rPr>
          <w:rFonts w:eastAsiaTheme="minorEastAsia"/>
          <w:color w:val="000000"/>
          <w:sz w:val="26"/>
          <w:szCs w:val="26"/>
        </w:rPr>
        <w:tab/>
        <w:t xml:space="preserve">Внутри тарная приемка Товара будет производиться в офисе Покупателя с участием представителей Покупателя, Поставщика с вскрытием ящиков (упаковки) Товара.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ind w:firstLine="709"/>
        <w:jc w:val="both"/>
        <w:shd w:val="clear" w:color="auto" w:fill="ffffff"/>
        <w:tabs>
          <w:tab w:val="left" w:pos="720" w:leader="none"/>
        </w:tabs>
        <w:rPr>
          <w:color w:val="000000"/>
          <w:sz w:val="26"/>
          <w:szCs w:val="26"/>
        </w:rPr>
      </w:pPr>
      <w:r>
        <w:rPr>
          <w:rFonts w:eastAsiaTheme="minorEastAsia"/>
          <w:color w:val="000000"/>
          <w:sz w:val="26"/>
          <w:szCs w:val="26"/>
        </w:rPr>
        <w:t xml:space="preserve">6.6.</w:t>
      </w:r>
      <w:r>
        <w:rPr>
          <w:rFonts w:eastAsiaTheme="minorEastAsia"/>
          <w:color w:val="000000"/>
          <w:sz w:val="26"/>
          <w:szCs w:val="26"/>
        </w:rPr>
        <w:tab/>
        <w:t xml:space="preserve">Покупатель направляет Поставщику сообщение о планируемой дате вскрытия ящик</w:t>
      </w:r>
      <w:r>
        <w:rPr>
          <w:rFonts w:eastAsiaTheme="minorEastAsia"/>
          <w:color w:val="000000"/>
          <w:sz w:val="26"/>
          <w:szCs w:val="26"/>
        </w:rPr>
        <w:t xml:space="preserve">ов (упаковки) для проверки соответствия содержимого в ящиках упаковочным листам за 5 (пять) рабочих дней до начала их вскрытия. По результатам проверки внутри тарной приемки Сторонами составляются и подписываются акты проверки или акты выявленных дефектов </w:t>
      </w:r>
      <w:r>
        <w:rPr>
          <w:rFonts w:eastAsiaTheme="minorEastAsia"/>
          <w:color w:val="000000"/>
          <w:sz w:val="26"/>
          <w:szCs w:val="26"/>
        </w:rPr>
        <w:t xml:space="preserve">(если таковые будут составлены), в которых указывается: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ind w:firstLine="709"/>
        <w:jc w:val="both"/>
        <w:shd w:val="clear" w:color="auto" w:fill="ffffff"/>
        <w:rPr>
          <w:color w:val="000000"/>
          <w:sz w:val="26"/>
          <w:szCs w:val="26"/>
        </w:rPr>
      </w:pPr>
      <w:r>
        <w:rPr>
          <w:rFonts w:eastAsiaTheme="minorEastAsia"/>
          <w:color w:val="000000"/>
          <w:sz w:val="26"/>
          <w:szCs w:val="26"/>
        </w:rPr>
        <w:t xml:space="preserve">-дата и место составления акта;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ind w:firstLine="709"/>
        <w:jc w:val="both"/>
        <w:shd w:val="clear" w:color="auto" w:fill="ffffff"/>
        <w:rPr>
          <w:color w:val="000000"/>
          <w:sz w:val="26"/>
          <w:szCs w:val="26"/>
        </w:rPr>
      </w:pPr>
      <w:r>
        <w:rPr>
          <w:rFonts w:eastAsiaTheme="minorEastAsia"/>
          <w:color w:val="000000"/>
          <w:sz w:val="26"/>
          <w:szCs w:val="26"/>
        </w:rPr>
        <w:t xml:space="preserve">-номер и дата Договора;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ind w:firstLine="709"/>
        <w:jc w:val="both"/>
        <w:shd w:val="clear" w:color="auto" w:fill="ffffff"/>
        <w:rPr>
          <w:color w:val="000000"/>
          <w:sz w:val="26"/>
          <w:szCs w:val="26"/>
        </w:rPr>
      </w:pPr>
      <w:r>
        <w:rPr>
          <w:rFonts w:eastAsiaTheme="minorEastAsia"/>
          <w:color w:val="000000"/>
          <w:sz w:val="26"/>
          <w:szCs w:val="26"/>
        </w:rPr>
        <w:t xml:space="preserve">-наименование Товара (</w:t>
      </w:r>
      <w:r>
        <w:rPr>
          <w:rFonts w:eastAsiaTheme="minorEastAsia"/>
          <w:color w:val="000000"/>
          <w:sz w:val="26"/>
          <w:szCs w:val="26"/>
        </w:rPr>
        <w:t xml:space="preserve">ов</w:t>
      </w:r>
      <w:r>
        <w:rPr>
          <w:rFonts w:eastAsiaTheme="minorEastAsia"/>
          <w:color w:val="000000"/>
          <w:sz w:val="26"/>
          <w:szCs w:val="26"/>
        </w:rPr>
        <w:t xml:space="preserve">);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ind w:firstLine="709"/>
        <w:jc w:val="both"/>
        <w:shd w:val="clear" w:color="auto" w:fill="ffffff"/>
        <w:rPr>
          <w:color w:val="000000"/>
          <w:sz w:val="26"/>
          <w:szCs w:val="26"/>
        </w:rPr>
      </w:pPr>
      <w:r>
        <w:rPr>
          <w:rFonts w:eastAsiaTheme="minorEastAsia"/>
          <w:color w:val="000000"/>
          <w:sz w:val="26"/>
          <w:szCs w:val="26"/>
        </w:rPr>
        <w:t xml:space="preserve">-состояние тары и консервации;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ind w:firstLine="709"/>
        <w:jc w:val="both"/>
        <w:shd w:val="clear" w:color="auto" w:fill="ffffff"/>
        <w:rPr>
          <w:color w:val="000000"/>
          <w:sz w:val="26"/>
          <w:szCs w:val="26"/>
        </w:rPr>
      </w:pPr>
      <w:r>
        <w:rPr>
          <w:rFonts w:eastAsiaTheme="minorEastAsia"/>
          <w:color w:val="000000"/>
          <w:sz w:val="26"/>
          <w:szCs w:val="26"/>
        </w:rPr>
        <w:t xml:space="preserve">-номера мест, в которых обнаружены недостатки, недостача и/или дефект;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ind w:firstLine="709"/>
        <w:jc w:val="both"/>
        <w:shd w:val="clear" w:color="auto" w:fill="ffffff"/>
        <w:rPr>
          <w:color w:val="000000"/>
          <w:sz w:val="26"/>
          <w:szCs w:val="26"/>
        </w:rPr>
      </w:pPr>
      <w:r>
        <w:rPr>
          <w:rFonts w:eastAsiaTheme="minorEastAsia"/>
          <w:color w:val="000000"/>
          <w:sz w:val="26"/>
          <w:szCs w:val="26"/>
        </w:rPr>
        <w:t xml:space="preserve">-</w:t>
      </w:r>
      <w:r>
        <w:rPr>
          <w:rFonts w:eastAsiaTheme="minorEastAsia"/>
          <w:color w:val="000000"/>
          <w:sz w:val="26"/>
          <w:szCs w:val="26"/>
        </w:rPr>
        <w:t xml:space="preserve">количество мест всей партии Товара;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ind w:firstLine="709"/>
        <w:jc w:val="both"/>
        <w:shd w:val="clear" w:color="auto" w:fill="ffffff"/>
        <w:rPr>
          <w:color w:val="000000"/>
          <w:sz w:val="26"/>
          <w:szCs w:val="26"/>
        </w:rPr>
      </w:pPr>
      <w:r>
        <w:rPr>
          <w:rFonts w:eastAsiaTheme="minorEastAsia"/>
          <w:color w:val="000000"/>
          <w:sz w:val="26"/>
          <w:szCs w:val="26"/>
        </w:rPr>
        <w:t xml:space="preserve">-описание обнаруженных дефектов, замечаний, повреждений, дефектов и недостатков с приложением фотографий дефектов (для актов выявленных дефектов).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ind w:firstLine="709"/>
        <w:jc w:val="both"/>
        <w:shd w:val="clear" w:color="auto" w:fill="ffffff"/>
        <w:tabs>
          <w:tab w:val="left" w:pos="720" w:leader="none"/>
        </w:tabs>
        <w:rPr>
          <w:color w:val="000000"/>
          <w:sz w:val="26"/>
          <w:szCs w:val="26"/>
        </w:rPr>
      </w:pPr>
      <w:r>
        <w:rPr>
          <w:rFonts w:eastAsiaTheme="minorEastAsia"/>
          <w:color w:val="000000"/>
          <w:sz w:val="26"/>
          <w:szCs w:val="26"/>
        </w:rPr>
        <w:t xml:space="preserve">6.7.</w:t>
      </w:r>
      <w:r>
        <w:rPr>
          <w:rFonts w:eastAsiaTheme="minorEastAsia"/>
          <w:color w:val="000000"/>
          <w:sz w:val="26"/>
          <w:szCs w:val="26"/>
        </w:rPr>
        <w:tab/>
        <w:t xml:space="preserve">Если при совместной проверке Товара представители Покупателя и Поста</w:t>
      </w:r>
      <w:r>
        <w:rPr>
          <w:rFonts w:eastAsiaTheme="minorEastAsia"/>
          <w:color w:val="000000"/>
          <w:sz w:val="26"/>
          <w:szCs w:val="26"/>
        </w:rPr>
        <w:t xml:space="preserve">вщика разойдутся во мнении о содержании акта проверки, то любая из Сторон может предъявить Товар независимой экспертной организации на повторную проверку. Свидетельство, выдаваемое этой организацией, будет являться основанием для выставления претензий. Зат</w:t>
      </w:r>
      <w:r>
        <w:rPr>
          <w:rFonts w:eastAsiaTheme="minorEastAsia"/>
          <w:color w:val="000000"/>
          <w:sz w:val="26"/>
          <w:szCs w:val="26"/>
        </w:rPr>
        <w:t xml:space="preserve">раты по проведению экспертизы относятся на виновную Сторону.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ind w:firstLine="709"/>
        <w:jc w:val="both"/>
        <w:shd w:val="clear" w:color="auto" w:fill="ffffff"/>
        <w:tabs>
          <w:tab w:val="left" w:pos="720" w:leader="none"/>
        </w:tabs>
        <w:rPr>
          <w:color w:val="000000"/>
          <w:sz w:val="26"/>
          <w:szCs w:val="26"/>
        </w:rPr>
      </w:pPr>
      <w:r>
        <w:rPr>
          <w:rFonts w:eastAsiaTheme="minorEastAsia"/>
          <w:color w:val="000000"/>
          <w:sz w:val="26"/>
          <w:szCs w:val="26"/>
        </w:rPr>
        <w:t xml:space="preserve">6.8.</w:t>
      </w:r>
      <w:r>
        <w:rPr>
          <w:rFonts w:eastAsiaTheme="minorEastAsia"/>
          <w:color w:val="000000"/>
          <w:sz w:val="26"/>
          <w:szCs w:val="26"/>
        </w:rPr>
        <w:tab/>
        <w:t xml:space="preserve">В случае невозможности прибытия Поставщика к дате, определяемой в соответствии с п. 6.6. настоящего Договора, на внутри тарную приемку Товара Покупатель в одностороннем порядке проведет прие</w:t>
      </w:r>
      <w:r>
        <w:rPr>
          <w:rFonts w:eastAsiaTheme="minorEastAsia"/>
          <w:color w:val="000000"/>
          <w:sz w:val="26"/>
          <w:szCs w:val="26"/>
        </w:rPr>
        <w:t xml:space="preserve">мку Товара, составит акт проверки и направит его почтовым сообщением в адрес Поставщика, указанный в разделе 16 настоящего Договора. В случае обнаружения дефектов, замечаний, повреждений и т.д. будет составлен акт выявленных дефектов и также направлен в ад</w:t>
      </w:r>
      <w:r>
        <w:rPr>
          <w:rFonts w:eastAsiaTheme="minorEastAsia"/>
          <w:color w:val="000000"/>
          <w:sz w:val="26"/>
          <w:szCs w:val="26"/>
        </w:rPr>
        <w:t xml:space="preserve">рес Поставщика.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numPr>
          <w:ilvl w:val="0"/>
          <w:numId w:val="2"/>
        </w:numPr>
        <w:ind w:left="357" w:hanging="357"/>
        <w:jc w:val="center"/>
        <w:spacing w:before="120" w:after="120"/>
        <w:shd w:val="clear" w:color="auto" w:fill="ffffff"/>
        <w:rPr>
          <w:b/>
          <w:color w:val="000000"/>
          <w:sz w:val="26"/>
          <w:szCs w:val="26"/>
        </w:rPr>
      </w:pPr>
      <w:r>
        <w:rPr>
          <w:rFonts w:eastAsiaTheme="minorEastAsia"/>
          <w:b/>
          <w:color w:val="000000"/>
          <w:sz w:val="26"/>
          <w:szCs w:val="26"/>
        </w:rPr>
        <w:t xml:space="preserve">Ответственность по Договору</w:t>
      </w:r>
      <w:r>
        <w:rPr>
          <w:b/>
          <w:color w:val="000000"/>
          <w:sz w:val="26"/>
          <w:szCs w:val="26"/>
        </w:rPr>
      </w:r>
      <w:r>
        <w:rPr>
          <w:b/>
          <w:color w:val="000000"/>
          <w:sz w:val="26"/>
          <w:szCs w:val="26"/>
        </w:rPr>
      </w:r>
    </w:p>
    <w:p>
      <w:pPr>
        <w:pStyle w:val="972"/>
        <w:numPr>
          <w:ilvl w:val="1"/>
          <w:numId w:val="10"/>
        </w:numPr>
        <w:ind w:left="0" w:firstLine="709"/>
        <w:jc w:val="both"/>
        <w:shd w:val="clear" w:color="auto" w:fill="ffffff"/>
        <w:rPr>
          <w:color w:val="000000"/>
          <w:sz w:val="26"/>
          <w:szCs w:val="26"/>
        </w:rPr>
      </w:pPr>
      <w:r>
        <w:rPr>
          <w:rFonts w:eastAsiaTheme="minorEastAsia"/>
          <w:color w:val="000000"/>
          <w:sz w:val="26"/>
          <w:szCs w:val="26"/>
        </w:rPr>
        <w:t xml:space="preserve">За</w:t>
      </w:r>
      <w:r>
        <w:rPr>
          <w:rFonts w:eastAsiaTheme="minorEastAsia"/>
          <w:color w:val="000000"/>
          <w:sz w:val="26"/>
          <w:szCs w:val="26"/>
        </w:rPr>
        <w:t xml:space="preserve">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pStyle w:val="972"/>
        <w:numPr>
          <w:ilvl w:val="1"/>
          <w:numId w:val="10"/>
        </w:numPr>
        <w:ind w:left="0" w:firstLine="709"/>
        <w:jc w:val="both"/>
        <w:shd w:val="clear" w:color="auto" w:fill="ffffff"/>
        <w:rPr>
          <w:color w:val="000000"/>
          <w:sz w:val="26"/>
          <w:szCs w:val="26"/>
        </w:rPr>
      </w:pPr>
      <w:r>
        <w:rPr>
          <w:rFonts w:eastAsiaTheme="minorEastAsia"/>
          <w:color w:val="000000"/>
          <w:sz w:val="26"/>
          <w:szCs w:val="26"/>
        </w:rPr>
        <w:t xml:space="preserve">За нарушение сроков оплаты за поставленные по настоящему Договору Товары Покупа</w:t>
      </w:r>
      <w:r>
        <w:rPr>
          <w:rFonts w:eastAsiaTheme="minorEastAsia"/>
          <w:color w:val="000000"/>
          <w:sz w:val="26"/>
          <w:szCs w:val="26"/>
        </w:rPr>
        <w:t xml:space="preserve">тель выплачивает по письменному требованию Поставщика неустойку в размере 0,01% от просроченной суммы за каждый день просрочки, но не более 2 % от суммы задолженности.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pStyle w:val="972"/>
        <w:numPr>
          <w:ilvl w:val="1"/>
          <w:numId w:val="10"/>
        </w:numPr>
        <w:ind w:left="0" w:firstLine="709"/>
        <w:jc w:val="both"/>
        <w:shd w:val="clear" w:color="auto" w:fill="ffffff"/>
        <w:rPr>
          <w:color w:val="000000"/>
          <w:sz w:val="26"/>
          <w:szCs w:val="26"/>
        </w:rPr>
      </w:pPr>
      <w:r>
        <w:rPr>
          <w:rFonts w:eastAsiaTheme="minorEastAsia"/>
          <w:color w:val="000000"/>
          <w:sz w:val="26"/>
          <w:szCs w:val="26"/>
        </w:rPr>
        <w:t xml:space="preserve">За нарушение Поставщиком сроков исполнения обязательств по предоставлению документов, ук</w:t>
      </w:r>
      <w:r>
        <w:rPr>
          <w:rFonts w:eastAsiaTheme="minorEastAsia"/>
          <w:color w:val="000000"/>
          <w:sz w:val="26"/>
          <w:szCs w:val="26"/>
        </w:rPr>
        <w:t xml:space="preserve">азанных в п. 3.2., 3.3.  настоящего Договора Покупатель имеет право потребовать от Поставщика уплаты неустойки в размере 1/365 ключевой ставки ЦБ РФ от суммы неисполненного обязательства за каждый день просрочки. Стороны договорились, что в случае нарушени</w:t>
      </w:r>
      <w:r>
        <w:rPr>
          <w:rFonts w:eastAsiaTheme="minorEastAsia"/>
          <w:color w:val="000000"/>
          <w:sz w:val="26"/>
          <w:szCs w:val="26"/>
        </w:rPr>
        <w:t xml:space="preserve">я Поставщиком сроков исполнения обязательств по предоставлению документов, указанных в п. 3.2., 3.3. настоящего Договора для целей расчета неустойки, указанной в настоящем пункте, суммой неисполненного Поставщиком обязательства считается сумма, которая дол</w:t>
      </w:r>
      <w:r>
        <w:rPr>
          <w:rFonts w:eastAsiaTheme="minorEastAsia"/>
          <w:color w:val="000000"/>
          <w:sz w:val="26"/>
          <w:szCs w:val="26"/>
        </w:rPr>
        <w:t xml:space="preserve">жна быть указана в Товарной накладной унифицированной формы ТОРГ-12, УПД и/или документах, подтверждающих факт поставки. 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pStyle w:val="972"/>
        <w:numPr>
          <w:ilvl w:val="1"/>
          <w:numId w:val="10"/>
        </w:numPr>
        <w:ind w:left="0" w:firstLine="709"/>
        <w:jc w:val="both"/>
        <w:shd w:val="clear" w:color="auto" w:fill="ffffff"/>
        <w:rPr>
          <w:color w:val="000000"/>
          <w:sz w:val="26"/>
          <w:szCs w:val="26"/>
        </w:rPr>
      </w:pPr>
      <w:r>
        <w:rPr>
          <w:rFonts w:eastAsiaTheme="minorEastAsia"/>
          <w:color w:val="000000"/>
          <w:sz w:val="26"/>
          <w:szCs w:val="26"/>
        </w:rPr>
        <w:t xml:space="preserve">В случае возникновения претензий к Поставщику независимо от их характера, со Стороны третьих лиц, Покупатель не несет по ним никакой о</w:t>
      </w:r>
      <w:r>
        <w:rPr>
          <w:rFonts w:eastAsiaTheme="minorEastAsia"/>
          <w:color w:val="000000"/>
          <w:sz w:val="26"/>
          <w:szCs w:val="26"/>
        </w:rPr>
        <w:t xml:space="preserve">тветственности.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pStyle w:val="972"/>
        <w:numPr>
          <w:ilvl w:val="1"/>
          <w:numId w:val="10"/>
        </w:numPr>
        <w:ind w:left="0" w:firstLine="709"/>
        <w:jc w:val="both"/>
        <w:shd w:val="clear" w:color="auto" w:fill="ffffff"/>
        <w:rPr>
          <w:color w:val="000000"/>
          <w:sz w:val="26"/>
          <w:szCs w:val="26"/>
        </w:rPr>
      </w:pPr>
      <w:r>
        <w:rPr>
          <w:rFonts w:eastAsiaTheme="minorEastAsia"/>
          <w:color w:val="000000"/>
          <w:sz w:val="26"/>
          <w:szCs w:val="26"/>
        </w:rPr>
        <w:t xml:space="preserve">Стороны пришли к соглашению, что в случае изъятия Товара (предъявления требования об изъятии/предполагающее изъятие) у Покупателя при признании Договора недействительным или расторжения Договора по обстоятельствам, возникшим по вине Поставщ</w:t>
      </w:r>
      <w:r>
        <w:rPr>
          <w:rFonts w:eastAsiaTheme="minorEastAsia"/>
          <w:color w:val="000000"/>
          <w:sz w:val="26"/>
          <w:szCs w:val="26"/>
        </w:rPr>
        <w:t xml:space="preserve">ика, а также вследствие предъявления претензии третьими лицами к Покупателю, в том числе со стороны предыдущих собственников Товара или иных третьих лиц,  Поставщик обязуется в сроки, указанные в требовании Покупателя, приобрести Покупателю равнозначный То</w:t>
      </w:r>
      <w:r>
        <w:rPr>
          <w:rFonts w:eastAsiaTheme="minorEastAsia"/>
          <w:color w:val="000000"/>
          <w:sz w:val="26"/>
          <w:szCs w:val="26"/>
        </w:rPr>
        <w:t xml:space="preserve">вар или предоставить Покупателю денежные средства для самостоятельного приобретения Товара, исходя из стоимости аналогичного Товара, действующей на рынке аналогичных Товаров на момент расторжения Договора (применения последствий недействительности Договора</w:t>
      </w:r>
      <w:r>
        <w:rPr>
          <w:rFonts w:eastAsiaTheme="minorEastAsia"/>
          <w:color w:val="000000"/>
          <w:sz w:val="26"/>
          <w:szCs w:val="26"/>
        </w:rPr>
        <w:t xml:space="preserve">), а также возместить все понесенные убытки и расходы, связанные с приобретением Товара по Договору.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ind w:firstLine="709"/>
        <w:jc w:val="both"/>
        <w:shd w:val="clear" w:color="auto" w:fill="ffffff"/>
        <w:rPr>
          <w:color w:val="000000"/>
          <w:sz w:val="26"/>
          <w:szCs w:val="26"/>
        </w:rPr>
      </w:pPr>
      <w:r>
        <w:rPr>
          <w:rFonts w:eastAsiaTheme="minorEastAsia"/>
          <w:color w:val="000000"/>
          <w:sz w:val="26"/>
          <w:szCs w:val="26"/>
        </w:rPr>
        <w:t xml:space="preserve">7.6.</w:t>
      </w:r>
      <w:r>
        <w:rPr>
          <w:rFonts w:eastAsiaTheme="minorEastAsia"/>
          <w:color w:val="000000"/>
          <w:sz w:val="26"/>
          <w:szCs w:val="26"/>
        </w:rPr>
        <w:tab/>
        <w:t xml:space="preserve">За нарушение сроков поставки Товара по настоящему Договору, Поставщик выплачивает по письменному требованию Покупателю неустойку в размере 0,01% от су</w:t>
      </w:r>
      <w:r>
        <w:rPr>
          <w:rFonts w:eastAsiaTheme="minorEastAsia"/>
          <w:color w:val="000000"/>
          <w:sz w:val="26"/>
          <w:szCs w:val="26"/>
        </w:rPr>
        <w:t xml:space="preserve">ммы не поставленного Товара за каждый день просрочки, но не более 2 % от суммы задолженности.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ind w:firstLine="709"/>
        <w:jc w:val="both"/>
        <w:shd w:val="clear" w:color="auto" w:fill="ffffff"/>
        <w:rPr>
          <w:bCs/>
          <w:sz w:val="26"/>
          <w:szCs w:val="26"/>
        </w:rPr>
      </w:pPr>
      <w:r>
        <w:rPr>
          <w:rFonts w:eastAsiaTheme="minorEastAsia"/>
          <w:color w:val="000000"/>
          <w:sz w:val="26"/>
          <w:szCs w:val="26"/>
        </w:rPr>
        <w:t xml:space="preserve">7.7. </w:t>
      </w:r>
      <w:r>
        <w:rPr>
          <w:rFonts w:eastAsiaTheme="minorEastAsia"/>
          <w:bCs/>
          <w:sz w:val="26"/>
          <w:szCs w:val="26"/>
        </w:rPr>
        <w:t xml:space="preserve">Поставщик обязуется раскрывать/предоставлять Покупателю в течении 10 (десяти) рабочих дней с даты направления соответствующего запроса информацию о привлекаемом соисполнителе / субподрядчике.</w:t>
      </w:r>
      <w:r>
        <w:rPr>
          <w:bCs/>
          <w:sz w:val="26"/>
          <w:szCs w:val="26"/>
        </w:rPr>
      </w:r>
      <w:r>
        <w:rPr>
          <w:bCs/>
          <w:sz w:val="26"/>
          <w:szCs w:val="26"/>
        </w:rPr>
      </w:r>
    </w:p>
    <w:p>
      <w:pPr>
        <w:ind w:firstLine="709"/>
        <w:jc w:val="both"/>
        <w:shd w:val="clear" w:color="auto" w:fill="ffffff"/>
        <w:rPr>
          <w:bCs/>
          <w:sz w:val="26"/>
          <w:szCs w:val="26"/>
        </w:rPr>
      </w:pPr>
      <w:r>
        <w:rPr>
          <w:rFonts w:eastAsiaTheme="minorEastAsia"/>
          <w:bCs/>
          <w:sz w:val="26"/>
          <w:szCs w:val="26"/>
        </w:rPr>
        <w:t xml:space="preserve">7.8. Поставщик обязуется ежеквартально предоставлять Покупателю </w:t>
      </w:r>
      <w:r>
        <w:rPr>
          <w:rFonts w:eastAsiaTheme="minorEastAsia"/>
          <w:bCs/>
          <w:sz w:val="26"/>
          <w:szCs w:val="26"/>
        </w:rPr>
        <w:t xml:space="preserve">в срок не позднее 5 числа месяца, </w:t>
      </w:r>
      <w:r>
        <w:rPr>
          <w:rFonts w:eastAsiaTheme="minorEastAsia"/>
          <w:color w:val="000000"/>
          <w:sz w:val="26"/>
          <w:szCs w:val="26"/>
        </w:rPr>
        <w:t xml:space="preserve">следующего за отчетным кварталом, документальное подтверждение наличия трудовых и материальных ресурсов у Поставщика, соисполнителей / субподрядчиков, используемых при исполнении обязательств в рамках настоящего договора.</w:t>
      </w:r>
      <w:r>
        <w:rPr>
          <w:bCs/>
          <w:sz w:val="26"/>
          <w:szCs w:val="26"/>
        </w:rPr>
      </w:r>
      <w:r>
        <w:rPr>
          <w:bCs/>
          <w:sz w:val="26"/>
          <w:szCs w:val="26"/>
        </w:rPr>
      </w:r>
    </w:p>
    <w:p>
      <w:pPr>
        <w:numPr>
          <w:ilvl w:val="0"/>
          <w:numId w:val="2"/>
        </w:numPr>
        <w:ind w:left="357" w:hanging="357"/>
        <w:jc w:val="center"/>
        <w:spacing w:before="120" w:after="120"/>
        <w:shd w:val="clear" w:color="auto" w:fill="ffffff"/>
        <w:rPr>
          <w:b/>
          <w:bCs/>
          <w:color w:val="000000"/>
          <w:sz w:val="26"/>
          <w:szCs w:val="26"/>
        </w:rPr>
      </w:pPr>
      <w:r>
        <w:rPr>
          <w:rFonts w:eastAsiaTheme="minorEastAsia"/>
          <w:b/>
          <w:color w:val="000000"/>
          <w:sz w:val="26"/>
          <w:szCs w:val="26"/>
        </w:rPr>
        <w:t xml:space="preserve">Форс</w:t>
      </w:r>
      <w:r>
        <w:rPr>
          <w:rFonts w:eastAsiaTheme="minorEastAsia"/>
          <w:b/>
          <w:bCs/>
          <w:color w:val="000000"/>
          <w:sz w:val="26"/>
          <w:szCs w:val="26"/>
        </w:rPr>
        <w:t xml:space="preserve">-мажор</w:t>
      </w:r>
      <w:r>
        <w:rPr>
          <w:b/>
          <w:bCs/>
          <w:color w:val="000000"/>
          <w:sz w:val="26"/>
          <w:szCs w:val="26"/>
        </w:rPr>
      </w:r>
      <w:r>
        <w:rPr>
          <w:b/>
          <w:bCs/>
          <w:color w:val="000000"/>
          <w:sz w:val="26"/>
          <w:szCs w:val="26"/>
        </w:rPr>
      </w:r>
    </w:p>
    <w:p>
      <w:pPr>
        <w:numPr>
          <w:ilvl w:val="1"/>
          <w:numId w:val="5"/>
        </w:numPr>
        <w:ind w:left="0" w:firstLine="709"/>
        <w:jc w:val="both"/>
        <w:shd w:val="clear" w:color="auto" w:fill="ffffff"/>
        <w:tabs>
          <w:tab w:val="num" w:pos="567" w:leader="none"/>
          <w:tab w:val="left" w:pos="1134" w:leader="none"/>
        </w:tabs>
        <w:rPr>
          <w:color w:val="000000"/>
          <w:sz w:val="26"/>
          <w:szCs w:val="26"/>
        </w:rPr>
      </w:pPr>
      <w:r>
        <w:rPr>
          <w:rFonts w:eastAsiaTheme="minorEastAsia"/>
          <w:color w:val="000000"/>
          <w:sz w:val="26"/>
          <w:szCs w:val="26"/>
        </w:rPr>
        <w:t xml:space="preserve"> 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военных действий и прочих обстоятельств непреодолимой силы, включая действия и реш</w:t>
      </w:r>
      <w:r>
        <w:rPr>
          <w:rFonts w:eastAsiaTheme="minorEastAsia"/>
          <w:color w:val="000000"/>
          <w:sz w:val="26"/>
          <w:szCs w:val="26"/>
        </w:rPr>
        <w:t xml:space="preserve">ения органов государственной власти и органов местного самоуправления, и, если эти обстоятельства непосредственно повлияли на исполнение настоящего Договора.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numPr>
          <w:ilvl w:val="1"/>
          <w:numId w:val="5"/>
        </w:numPr>
        <w:ind w:left="0" w:firstLine="709"/>
        <w:jc w:val="both"/>
        <w:shd w:val="clear" w:color="auto" w:fill="ffffff"/>
        <w:tabs>
          <w:tab w:val="num" w:pos="567" w:leader="none"/>
          <w:tab w:val="left" w:pos="1134" w:leader="none"/>
        </w:tabs>
        <w:rPr>
          <w:color w:val="000000"/>
          <w:sz w:val="26"/>
          <w:szCs w:val="26"/>
        </w:rPr>
      </w:pPr>
      <w:r>
        <w:rPr>
          <w:rFonts w:eastAsiaTheme="minorEastAsia"/>
          <w:color w:val="000000"/>
          <w:sz w:val="26"/>
          <w:szCs w:val="26"/>
        </w:rPr>
        <w:t xml:space="preserve"> Стороны договорились, что для целей исполнения обязательств по настоящему Договору Стороны не буд</w:t>
      </w:r>
      <w:r>
        <w:rPr>
          <w:rFonts w:eastAsiaTheme="minorEastAsia"/>
          <w:color w:val="000000"/>
          <w:sz w:val="26"/>
          <w:szCs w:val="26"/>
        </w:rPr>
        <w:t xml:space="preserve">ут считать форс-мажорным обстоятельством любые действия любого государственного органа любого государства в отношении </w:t>
      </w:r>
      <w:r>
        <w:rPr>
          <w:rFonts w:eastAsiaTheme="minorEastAsia"/>
          <w:color w:val="000000"/>
          <w:sz w:val="26"/>
          <w:szCs w:val="26"/>
        </w:rPr>
        <w:t xml:space="preserve">объявления эмбарго, санкций и т.д. в связи с поставкой Товара на территорию Российской Федерации.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numPr>
          <w:ilvl w:val="1"/>
          <w:numId w:val="5"/>
        </w:numPr>
        <w:ind w:left="0" w:firstLine="709"/>
        <w:jc w:val="both"/>
        <w:shd w:val="clear" w:color="auto" w:fill="ffffff"/>
        <w:tabs>
          <w:tab w:val="num" w:pos="567" w:leader="none"/>
          <w:tab w:val="left" w:pos="1134" w:leader="none"/>
        </w:tabs>
        <w:rPr>
          <w:color w:val="000000"/>
          <w:sz w:val="26"/>
          <w:szCs w:val="26"/>
        </w:rPr>
      </w:pPr>
      <w:r>
        <w:rPr>
          <w:rFonts w:eastAsiaTheme="minorEastAsia"/>
          <w:color w:val="000000"/>
          <w:sz w:val="26"/>
          <w:szCs w:val="26"/>
        </w:rPr>
        <w:t xml:space="preserve"> Сторона, не исполняющая своих обязатель</w:t>
      </w:r>
      <w:r>
        <w:rPr>
          <w:rFonts w:eastAsiaTheme="minorEastAsia"/>
          <w:color w:val="000000"/>
          <w:sz w:val="26"/>
          <w:szCs w:val="26"/>
        </w:rPr>
        <w:t xml:space="preserve">ств, вследствие обстоятельств непреодолимой силы, должна в 5-ти </w:t>
      </w:r>
      <w:r>
        <w:rPr>
          <w:rFonts w:eastAsiaTheme="minorEastAsia"/>
          <w:color w:val="000000"/>
          <w:sz w:val="26"/>
          <w:szCs w:val="26"/>
        </w:rPr>
        <w:t xml:space="preserve">дневный</w:t>
      </w:r>
      <w:r>
        <w:rPr>
          <w:rFonts w:eastAsiaTheme="minorEastAsia"/>
          <w:color w:val="000000"/>
          <w:sz w:val="26"/>
          <w:szCs w:val="26"/>
        </w:rPr>
        <w:t xml:space="preserve"> срок сообщить другой Стороне о возникновении такого обстоятельства. Связанные с форс-мажором обстоятельства должны быть документально подтверждены Торговой Палатой соответствующей стра</w:t>
      </w:r>
      <w:r>
        <w:rPr>
          <w:rFonts w:eastAsiaTheme="minorEastAsia"/>
          <w:color w:val="000000"/>
          <w:sz w:val="26"/>
          <w:szCs w:val="26"/>
        </w:rPr>
        <w:t xml:space="preserve">ны.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numPr>
          <w:ilvl w:val="1"/>
          <w:numId w:val="5"/>
        </w:numPr>
        <w:ind w:left="0" w:firstLine="709"/>
        <w:jc w:val="both"/>
        <w:shd w:val="clear" w:color="auto" w:fill="ffffff"/>
        <w:tabs>
          <w:tab w:val="num" w:pos="567" w:leader="none"/>
          <w:tab w:val="left" w:pos="1134" w:leader="none"/>
        </w:tabs>
        <w:rPr>
          <w:color w:val="000000"/>
          <w:sz w:val="26"/>
          <w:szCs w:val="26"/>
        </w:rPr>
      </w:pPr>
      <w:r>
        <w:rPr>
          <w:rFonts w:eastAsiaTheme="minorEastAsia"/>
          <w:color w:val="000000"/>
          <w:sz w:val="26"/>
          <w:szCs w:val="26"/>
        </w:rPr>
        <w:t xml:space="preserve"> Срок исполнения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numPr>
          <w:ilvl w:val="1"/>
          <w:numId w:val="5"/>
        </w:numPr>
        <w:ind w:left="0" w:firstLine="709"/>
        <w:jc w:val="both"/>
        <w:shd w:val="clear" w:color="auto" w:fill="ffffff"/>
        <w:tabs>
          <w:tab w:val="num" w:pos="567" w:leader="none"/>
          <w:tab w:val="left" w:pos="1134" w:leader="none"/>
        </w:tabs>
        <w:rPr>
          <w:color w:val="000000"/>
          <w:sz w:val="26"/>
          <w:szCs w:val="26"/>
        </w:rPr>
      </w:pPr>
      <w:r>
        <w:rPr>
          <w:rFonts w:eastAsiaTheme="minorEastAsia"/>
          <w:color w:val="000000"/>
          <w:sz w:val="26"/>
          <w:szCs w:val="26"/>
        </w:rPr>
        <w:t xml:space="preserve"> Если обстоятельства непреодолимой силы или и</w:t>
      </w:r>
      <w:r>
        <w:rPr>
          <w:rFonts w:eastAsiaTheme="minorEastAsia"/>
          <w:color w:val="000000"/>
          <w:sz w:val="26"/>
          <w:szCs w:val="26"/>
        </w:rPr>
        <w:t xml:space="preserve">х последствия будут длиться более 1 (одного) месяца, то Покупатель и Поставщик обсудят, какие меры следует принять для продолжения выполнения условий Договора.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numPr>
          <w:ilvl w:val="1"/>
          <w:numId w:val="5"/>
        </w:numPr>
        <w:ind w:left="0" w:firstLine="709"/>
        <w:jc w:val="both"/>
        <w:shd w:val="clear" w:color="auto" w:fill="ffffff"/>
        <w:tabs>
          <w:tab w:val="num" w:pos="567" w:leader="none"/>
          <w:tab w:val="left" w:pos="1134" w:leader="none"/>
        </w:tabs>
        <w:rPr>
          <w:color w:val="000000"/>
          <w:sz w:val="26"/>
          <w:szCs w:val="26"/>
        </w:rPr>
      </w:pPr>
      <w:r>
        <w:rPr>
          <w:rFonts w:eastAsiaTheme="minorEastAsia"/>
          <w:color w:val="000000"/>
          <w:sz w:val="26"/>
          <w:szCs w:val="26"/>
        </w:rPr>
        <w:t xml:space="preserve"> Если в течение 3 (трех) месяцев соглашения, устраивающего Стороны</w:t>
      </w:r>
      <w:r>
        <w:rPr>
          <w:rFonts w:eastAsiaTheme="minorEastAsia"/>
          <w:color w:val="000000"/>
          <w:sz w:val="26"/>
          <w:szCs w:val="26"/>
        </w:rPr>
        <w:t xml:space="preserve"> не будет достигнуто, каждая из Сторон вправе потребовать расторжения настоящего Договора.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numPr>
          <w:ilvl w:val="0"/>
          <w:numId w:val="2"/>
        </w:numPr>
        <w:ind w:left="357" w:hanging="357"/>
        <w:jc w:val="center"/>
        <w:spacing w:before="120" w:after="120"/>
        <w:shd w:val="clear" w:color="auto" w:fill="ffffff"/>
        <w:rPr>
          <w:b/>
          <w:color w:val="000000"/>
          <w:sz w:val="26"/>
          <w:szCs w:val="26"/>
        </w:rPr>
      </w:pPr>
      <w:r>
        <w:rPr>
          <w:rFonts w:eastAsiaTheme="minorEastAsia"/>
          <w:b/>
          <w:color w:val="000000"/>
          <w:sz w:val="26"/>
          <w:szCs w:val="26"/>
        </w:rPr>
        <w:t xml:space="preserve">Разрешение споров</w:t>
      </w:r>
      <w:r>
        <w:rPr>
          <w:b/>
          <w:color w:val="000000"/>
          <w:sz w:val="26"/>
          <w:szCs w:val="26"/>
        </w:rPr>
      </w:r>
      <w:r>
        <w:rPr>
          <w:b/>
          <w:color w:val="000000"/>
          <w:sz w:val="26"/>
          <w:szCs w:val="26"/>
        </w:rPr>
      </w:r>
    </w:p>
    <w:p>
      <w:pPr>
        <w:numPr>
          <w:ilvl w:val="1"/>
          <w:numId w:val="2"/>
        </w:numPr>
        <w:ind w:left="0" w:firstLine="709"/>
        <w:jc w:val="both"/>
        <w:shd w:val="clear" w:color="auto" w:fill="ffffff"/>
        <w:tabs>
          <w:tab w:val="left" w:pos="720" w:leader="none"/>
        </w:tabs>
        <w:rPr>
          <w:color w:val="000000"/>
          <w:sz w:val="26"/>
          <w:szCs w:val="26"/>
        </w:rPr>
      </w:pPr>
      <w:r>
        <w:rPr>
          <w:rFonts w:eastAsiaTheme="minorEastAsia"/>
          <w:color w:val="000000"/>
          <w:sz w:val="26"/>
          <w:szCs w:val="26"/>
        </w:rPr>
        <w:t xml:space="preserve">Все споры, возникшие из настоящего Договора или касающиеся настоящего Договора, Стороны обязуются разрешать путем переговоров, в претензионном поря</w:t>
      </w:r>
      <w:r>
        <w:rPr>
          <w:rFonts w:eastAsiaTheme="minorEastAsia"/>
          <w:color w:val="000000"/>
          <w:sz w:val="26"/>
          <w:szCs w:val="26"/>
        </w:rPr>
        <w:t xml:space="preserve">дке. Срок рассмотрения претензии – 15 (пятнадцать) календарных дней со дня получения претензии.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numPr>
          <w:ilvl w:val="1"/>
          <w:numId w:val="2"/>
        </w:numPr>
        <w:ind w:left="0" w:firstLine="709"/>
        <w:jc w:val="both"/>
        <w:shd w:val="clear" w:color="auto" w:fill="ffffff"/>
        <w:tabs>
          <w:tab w:val="left" w:pos="720" w:leader="none"/>
        </w:tabs>
        <w:rPr>
          <w:color w:val="000000"/>
          <w:sz w:val="26"/>
          <w:szCs w:val="26"/>
        </w:rPr>
      </w:pPr>
      <w:r>
        <w:rPr>
          <w:rFonts w:eastAsiaTheme="minorEastAsia"/>
          <w:color w:val="000000"/>
          <w:sz w:val="26"/>
          <w:szCs w:val="26"/>
        </w:rPr>
        <w:t xml:space="preserve">При невозможности достижения согласия в переговорах или отказе в переговорах, споры и разногласия, возникающие из Договора или в связи с ним, в том числе касающ</w:t>
      </w:r>
      <w:r>
        <w:rPr>
          <w:rFonts w:eastAsiaTheme="minorEastAsia"/>
          <w:color w:val="000000"/>
          <w:sz w:val="26"/>
          <w:szCs w:val="26"/>
        </w:rPr>
        <w:t xml:space="preserve">иеся его выполнения, нарушения, прекращения или действительности рассматриваются в Арбитражном суде Томской области в порядке, установленном действующим законодательством Российской Федерации.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numPr>
          <w:ilvl w:val="0"/>
          <w:numId w:val="2"/>
        </w:numPr>
        <w:ind w:left="357" w:hanging="357"/>
        <w:jc w:val="center"/>
        <w:spacing w:before="120" w:after="120"/>
        <w:shd w:val="clear" w:color="auto" w:fill="ffffff"/>
        <w:rPr>
          <w:b/>
          <w:bCs/>
          <w:color w:val="000000"/>
          <w:sz w:val="26"/>
          <w:szCs w:val="26"/>
        </w:rPr>
      </w:pPr>
      <w:r>
        <w:rPr>
          <w:rFonts w:eastAsiaTheme="minorEastAsia"/>
          <w:b/>
          <w:bCs/>
          <w:color w:val="000000"/>
          <w:sz w:val="26"/>
          <w:szCs w:val="26"/>
        </w:rPr>
        <w:t xml:space="preserve">Основания расторжения Договора</w:t>
      </w:r>
      <w:r>
        <w:rPr>
          <w:b/>
          <w:bCs/>
          <w:color w:val="000000"/>
          <w:sz w:val="26"/>
          <w:szCs w:val="26"/>
        </w:rPr>
      </w:r>
      <w:r>
        <w:rPr>
          <w:b/>
          <w:bCs/>
          <w:color w:val="000000"/>
          <w:sz w:val="26"/>
          <w:szCs w:val="26"/>
        </w:rPr>
      </w:r>
    </w:p>
    <w:p>
      <w:pPr>
        <w:numPr>
          <w:ilvl w:val="1"/>
          <w:numId w:val="2"/>
        </w:numPr>
        <w:ind w:left="0" w:firstLine="709"/>
        <w:jc w:val="both"/>
        <w:shd w:val="clear" w:color="auto" w:fill="ffffff"/>
        <w:rPr>
          <w:color w:val="000000"/>
          <w:sz w:val="26"/>
          <w:szCs w:val="26"/>
        </w:rPr>
      </w:pPr>
      <w:r>
        <w:rPr>
          <w:rFonts w:eastAsiaTheme="minorEastAsia"/>
          <w:color w:val="000000"/>
          <w:sz w:val="26"/>
          <w:szCs w:val="26"/>
        </w:rPr>
        <w:t xml:space="preserve">Покупатель вправе в односторонне</w:t>
      </w:r>
      <w:r>
        <w:rPr>
          <w:rFonts w:eastAsiaTheme="minorEastAsia"/>
          <w:color w:val="000000"/>
          <w:sz w:val="26"/>
          <w:szCs w:val="26"/>
        </w:rPr>
        <w:t xml:space="preserve">м порядке отказаться от исполнения настоящего Договора в следующих случаях: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numPr>
          <w:ilvl w:val="2"/>
          <w:numId w:val="2"/>
        </w:numPr>
        <w:ind w:left="0" w:firstLine="709"/>
        <w:jc w:val="both"/>
        <w:shd w:val="clear" w:color="auto" w:fill="ffffff"/>
        <w:rPr>
          <w:color w:val="000000"/>
          <w:sz w:val="26"/>
          <w:szCs w:val="26"/>
        </w:rPr>
      </w:pPr>
      <w:r>
        <w:rPr>
          <w:rFonts w:eastAsiaTheme="minorEastAsia"/>
          <w:color w:val="000000"/>
          <w:sz w:val="26"/>
          <w:szCs w:val="26"/>
        </w:rPr>
        <w:t xml:space="preserve">задержки Поставщиком выполнения обязательств по настоящему Договору более чем на 5 (пять) рабочих дней по причинам, не зависящим от Покупателя;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numPr>
          <w:ilvl w:val="2"/>
          <w:numId w:val="2"/>
        </w:numPr>
        <w:ind w:left="0" w:firstLine="709"/>
        <w:jc w:val="both"/>
        <w:shd w:val="clear" w:color="auto" w:fill="ffffff"/>
        <w:rPr>
          <w:color w:val="000000"/>
          <w:sz w:val="26"/>
          <w:szCs w:val="26"/>
        </w:rPr>
      </w:pPr>
      <w:r>
        <w:rPr>
          <w:rFonts w:eastAsiaTheme="minorEastAsia"/>
          <w:color w:val="000000"/>
          <w:sz w:val="26"/>
          <w:szCs w:val="26"/>
        </w:rPr>
        <w:t xml:space="preserve">нарушения Поставщиком условий настоящего Договора, ведущее к существенному снижению качества Товара, в том числе при поставке некачественного Товара;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numPr>
          <w:ilvl w:val="2"/>
          <w:numId w:val="2"/>
        </w:numPr>
        <w:ind w:left="0" w:firstLine="709"/>
        <w:jc w:val="both"/>
        <w:shd w:val="clear" w:color="auto" w:fill="ffffff"/>
        <w:rPr>
          <w:color w:val="000000"/>
          <w:sz w:val="26"/>
          <w:szCs w:val="26"/>
        </w:rPr>
      </w:pPr>
      <w:r>
        <w:rPr>
          <w:rFonts w:eastAsiaTheme="minorEastAsia"/>
          <w:color w:val="000000"/>
          <w:sz w:val="26"/>
          <w:szCs w:val="26"/>
        </w:rPr>
        <w:t xml:space="preserve">в случае не поставки Товара в связи с любыми действиями любого государственного органа любого государства </w:t>
      </w:r>
      <w:r>
        <w:rPr>
          <w:rFonts w:eastAsiaTheme="minorEastAsia"/>
          <w:color w:val="000000"/>
          <w:sz w:val="26"/>
          <w:szCs w:val="26"/>
        </w:rPr>
        <w:t xml:space="preserve">в отношении объявления эмбарго, санкций и т.д. в связи с поставкой Товара на территорию Российской Федерации;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numPr>
          <w:ilvl w:val="2"/>
          <w:numId w:val="2"/>
        </w:numPr>
        <w:ind w:left="0" w:firstLine="709"/>
        <w:jc w:val="both"/>
        <w:shd w:val="clear" w:color="auto" w:fill="ffffff"/>
        <w:rPr>
          <w:color w:val="000000"/>
          <w:sz w:val="26"/>
          <w:szCs w:val="26"/>
        </w:rPr>
      </w:pPr>
      <w:r>
        <w:rPr>
          <w:rFonts w:eastAsiaTheme="minorEastAsia"/>
          <w:color w:val="000000"/>
          <w:sz w:val="26"/>
          <w:szCs w:val="26"/>
        </w:rPr>
        <w:t xml:space="preserve">при установлении нецелесообразности дальнейшего исполнения Договора, определяемой Покупателем – с возмещением Поставщику фактически понесенных зат</w:t>
      </w:r>
      <w:r>
        <w:rPr>
          <w:rFonts w:eastAsiaTheme="minorEastAsia"/>
          <w:color w:val="000000"/>
          <w:sz w:val="26"/>
          <w:szCs w:val="26"/>
        </w:rPr>
        <w:t xml:space="preserve">рат.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numPr>
          <w:ilvl w:val="1"/>
          <w:numId w:val="2"/>
        </w:numPr>
        <w:ind w:left="0" w:firstLine="709"/>
        <w:jc w:val="both"/>
        <w:shd w:val="clear" w:color="auto" w:fill="ffffff"/>
        <w:rPr>
          <w:color w:val="000000"/>
          <w:sz w:val="26"/>
          <w:szCs w:val="26"/>
        </w:rPr>
      </w:pPr>
      <w:r>
        <w:rPr>
          <w:rFonts w:eastAsiaTheme="minorEastAsia"/>
          <w:color w:val="000000"/>
          <w:sz w:val="26"/>
          <w:szCs w:val="26"/>
        </w:rPr>
        <w:t xml:space="preserve">Уведомление о расторжении настоящего Договора должно быть направлено Поставщику посредством факсимильной/ электронной связи, либо по телеграфу не позднее, чем за 5 (пять) рабочих дней до предполагаемой даты его расторжения с последующей досылкой на бу</w:t>
      </w:r>
      <w:r>
        <w:rPr>
          <w:rFonts w:eastAsiaTheme="minorEastAsia"/>
          <w:color w:val="000000"/>
          <w:sz w:val="26"/>
          <w:szCs w:val="26"/>
        </w:rPr>
        <w:t xml:space="preserve">мажном носителе.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numPr>
          <w:ilvl w:val="1"/>
          <w:numId w:val="2"/>
        </w:numPr>
        <w:ind w:left="0" w:firstLine="709"/>
        <w:jc w:val="both"/>
        <w:shd w:val="clear" w:color="auto" w:fill="ffffff"/>
        <w:rPr>
          <w:color w:val="000000"/>
          <w:sz w:val="26"/>
          <w:szCs w:val="26"/>
        </w:rPr>
      </w:pPr>
      <w:r>
        <w:rPr>
          <w:rFonts w:eastAsiaTheme="minorEastAsia"/>
          <w:color w:val="000000"/>
          <w:sz w:val="26"/>
          <w:szCs w:val="26"/>
        </w:rPr>
        <w:t xml:space="preserve">Договор считается расторгнутым по основаниям, предусмотренным пунктом 10.1. настоящего Договора, с даты, указанной в уведомлении о расторжении настоящего Договора.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numPr>
          <w:ilvl w:val="1"/>
          <w:numId w:val="2"/>
        </w:numPr>
        <w:ind w:left="0" w:firstLine="709"/>
        <w:jc w:val="both"/>
        <w:shd w:val="clear" w:color="auto" w:fill="ffffff"/>
        <w:rPr>
          <w:color w:val="000000"/>
          <w:sz w:val="26"/>
          <w:szCs w:val="26"/>
        </w:rPr>
      </w:pPr>
      <w:r>
        <w:rPr>
          <w:rFonts w:eastAsiaTheme="minorEastAsia"/>
          <w:color w:val="000000"/>
          <w:sz w:val="26"/>
          <w:szCs w:val="26"/>
        </w:rPr>
        <w:t xml:space="preserve">В случае расторжения настоящего Договора, Покупатель вправе потребовать от </w:t>
      </w:r>
      <w:r>
        <w:rPr>
          <w:rFonts w:eastAsiaTheme="minorEastAsia"/>
          <w:color w:val="000000"/>
          <w:sz w:val="26"/>
          <w:szCs w:val="26"/>
        </w:rPr>
        <w:t xml:space="preserve">Поставщика возврата ранее уплаченных сумм, в том числе, причиненных убытков в течение 30 (тридцать) календарных дней с даты расторжения Договора.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numPr>
          <w:ilvl w:val="0"/>
          <w:numId w:val="2"/>
        </w:numPr>
        <w:ind w:left="357" w:hanging="357"/>
        <w:jc w:val="center"/>
        <w:spacing w:before="120" w:after="120"/>
        <w:shd w:val="clear" w:color="auto" w:fill="ffffff"/>
        <w:rPr>
          <w:b/>
          <w:bCs/>
          <w:sz w:val="28"/>
          <w:szCs w:val="28"/>
        </w:rPr>
      </w:pPr>
      <w:r>
        <w:rPr>
          <w:rFonts w:eastAsiaTheme="minorEastAsia"/>
          <w:b/>
          <w:bCs/>
          <w:color w:val="000000"/>
          <w:sz w:val="26"/>
          <w:szCs w:val="26"/>
        </w:rPr>
        <w:t xml:space="preserve">Антикоррупционная оговорка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numPr>
          <w:ilvl w:val="1"/>
          <w:numId w:val="2"/>
        </w:numPr>
        <w:ind w:left="0" w:firstLine="709"/>
        <w:jc w:val="both"/>
        <w:shd w:val="clear" w:color="auto" w:fill="ffffff"/>
        <w:rPr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Поставщику известно о том, что Покупатель ведет антикоррупционную политику и развив</w:t>
      </w:r>
      <w:r>
        <w:rPr>
          <w:rFonts w:eastAsiaTheme="minorEastAsia"/>
          <w:sz w:val="26"/>
          <w:szCs w:val="26"/>
        </w:rPr>
        <w:t xml:space="preserve">ает не допускающую коррупционных проявлений культуру.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shd w:val="clear" w:color="auto" w:fill="ffffff"/>
        <w:rPr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</w:t>
      </w:r>
      <w:r>
        <w:rPr>
          <w:rFonts w:eastAsiaTheme="minorEastAsia"/>
          <w:sz w:val="26"/>
          <w:szCs w:val="26"/>
        </w:rPr>
        <w:t xml:space="preserve">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shd w:val="clear" w:color="auto" w:fill="ffffff"/>
        <w:rPr>
          <w:b/>
          <w:bCs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При исполнении своих обязательств по настоящему Договору, Стороны</w:t>
      </w:r>
      <w:r>
        <w:rPr>
          <w:rFonts w:eastAsiaTheme="minorEastAsia"/>
          <w:sz w:val="26"/>
          <w:szCs w:val="26"/>
        </w:rPr>
        <w:t xml:space="preserve">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получение взятки, коммерческий подкуп, а также действия, нарушающие требования применимого зак</w:t>
      </w:r>
      <w:r>
        <w:rPr>
          <w:rFonts w:eastAsiaTheme="minorEastAsia"/>
          <w:sz w:val="26"/>
          <w:szCs w:val="26"/>
        </w:rPr>
        <w:t xml:space="preserve">онодательства и международных актов о противодействии коррупции легализации (отмыванию) доходов, полученных преступным путем.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ind w:firstLine="709"/>
        <w:jc w:val="both"/>
        <w:shd w:val="clear" w:color="auto" w:fill="ffffff"/>
        <w:rPr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В случае возникновения у Стороны подозрений, что со Стороны-контрагента и (или) его представителя, и (или) работника, и (или) его </w:t>
      </w:r>
      <w:r>
        <w:rPr>
          <w:rFonts w:eastAsiaTheme="minorEastAsia"/>
          <w:sz w:val="26"/>
          <w:szCs w:val="26"/>
        </w:rPr>
        <w:t xml:space="preserve">аффилированного лица произошло или может произойти нарушение каких-либо положений настоящего п.11.1,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</w:t>
      </w:r>
      <w:r>
        <w:rPr>
          <w:rFonts w:eastAsiaTheme="minorEastAsia"/>
          <w:sz w:val="26"/>
          <w:szCs w:val="26"/>
        </w:rPr>
        <w:t xml:space="preserve">ую линию этой Стороны. Сторона, направившая письменное уведомление, имеет право приостановить исполнение обязательств по настоящему Договору до получения подтверждения от другой Стороны, что нарушения не произошло или не произойдет.</w:t>
      </w:r>
      <w:r>
        <w:rPr>
          <w:rFonts w:eastAsiaTheme="minorEastAsia"/>
          <w:b/>
          <w:bCs/>
          <w:sz w:val="26"/>
          <w:szCs w:val="26"/>
        </w:rPr>
        <w:t xml:space="preserve"> </w:t>
      </w:r>
      <w:r>
        <w:rPr>
          <w:rFonts w:eastAsiaTheme="minorEastAsia"/>
          <w:bCs/>
          <w:sz w:val="26"/>
          <w:szCs w:val="26"/>
        </w:rPr>
        <w:t xml:space="preserve">Это подтверждение должн</w:t>
      </w:r>
      <w:r>
        <w:rPr>
          <w:rFonts w:eastAsiaTheme="minorEastAsia"/>
          <w:bCs/>
          <w:sz w:val="26"/>
          <w:szCs w:val="26"/>
        </w:rPr>
        <w:t xml:space="preserve">о быть направлено Стороной, получившей указанное уведомление, в адрес направившей его Стороны, в течение семи рабочих дней с даты получения вышеуказанного письменного уведомления.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shd w:val="clear" w:color="auto" w:fill="ffffff"/>
        <w:rPr>
          <w:b/>
          <w:bCs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В письменном уведомлении Сторона обязана сослаться на факты или предоставить</w:t>
      </w:r>
      <w:r>
        <w:rPr>
          <w:rFonts w:eastAsiaTheme="minorEastAsia"/>
          <w:sz w:val="26"/>
          <w:szCs w:val="26"/>
        </w:rPr>
        <w:t xml:space="preserve"> материалы, достоверно подтверждающие или дающие основание предполагать, что произошло или может произойти нарушение каких-либо положений настоящего п.11.1. Стороной-контрагентом, его аффилированными лицами, работниками или посредниками выражающееся в дейс</w:t>
      </w:r>
      <w:r>
        <w:rPr>
          <w:rFonts w:eastAsiaTheme="minorEastAsia"/>
          <w:sz w:val="26"/>
          <w:szCs w:val="26"/>
        </w:rPr>
        <w:t xml:space="preserve">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коррупции, легализации доходов, полученны</w:t>
      </w:r>
      <w:r>
        <w:rPr>
          <w:rFonts w:eastAsiaTheme="minorEastAsia"/>
          <w:sz w:val="26"/>
          <w:szCs w:val="26"/>
        </w:rPr>
        <w:t xml:space="preserve">х преступным путем.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numPr>
          <w:ilvl w:val="1"/>
          <w:numId w:val="2"/>
        </w:numPr>
        <w:ind w:left="0" w:firstLine="709"/>
        <w:jc w:val="both"/>
        <w:shd w:val="clear" w:color="auto" w:fill="ffffff"/>
        <w:rPr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В случае нарушения одной Стороной обязательств воздерживаться от запрещенных в п.11.1 настоящего Договора действий и/или неполучения другой Стороной в установленный п. 11.1. настоящего Договора срок подтверждения, что нарушения не произ</w:t>
      </w:r>
      <w:r>
        <w:rPr>
          <w:rFonts w:eastAsiaTheme="minorEastAsia"/>
          <w:sz w:val="26"/>
          <w:szCs w:val="26"/>
        </w:rPr>
        <w:t xml:space="preserve">ошло или не произойдет, другая Сторона имеет право расторгнуть Договор в одностороннем порядке, направив письменное уведомление о его расторжении. Сторона, по чьей инициативе был расторгнут настоящий Договор в соответствии с положениями настоящего п. 11.1.</w:t>
      </w:r>
      <w:r>
        <w:rPr>
          <w:rFonts w:eastAsiaTheme="minorEastAsia"/>
          <w:sz w:val="26"/>
          <w:szCs w:val="26"/>
        </w:rPr>
        <w:t xml:space="preserve">, вправе требовать возмещения реального ущерба, возникшего в результате такого расторжения, при условии представления подтверждающих такой реальный ущерб документов.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0"/>
          <w:numId w:val="2"/>
        </w:numPr>
        <w:ind w:left="357" w:hanging="357"/>
        <w:jc w:val="center"/>
        <w:spacing w:before="120" w:after="120"/>
        <w:shd w:val="clear" w:color="auto" w:fill="ffffff"/>
        <w:rPr>
          <w:b/>
          <w:color w:val="000000"/>
          <w:sz w:val="26"/>
          <w:szCs w:val="26"/>
        </w:rPr>
      </w:pPr>
      <w:r>
        <w:rPr>
          <w:rFonts w:eastAsiaTheme="minorEastAsia"/>
          <w:b/>
          <w:bCs/>
          <w:color w:val="000000"/>
          <w:sz w:val="26"/>
          <w:szCs w:val="26"/>
        </w:rPr>
        <w:t xml:space="preserve">Налоговая оговорка</w:t>
      </w:r>
      <w:r>
        <w:rPr>
          <w:b/>
          <w:color w:val="000000"/>
          <w:sz w:val="26"/>
          <w:szCs w:val="26"/>
        </w:rPr>
      </w:r>
      <w:r>
        <w:rPr>
          <w:b/>
          <w:color w:val="000000"/>
          <w:sz w:val="26"/>
          <w:szCs w:val="26"/>
        </w:rPr>
      </w:r>
    </w:p>
    <w:p>
      <w:pPr>
        <w:ind w:left="709"/>
        <w:jc w:val="both"/>
        <w:shd w:val="clear" w:color="auto" w:fill="ffffff"/>
        <w:rPr>
          <w:color w:val="000000"/>
        </w:rPr>
      </w:pPr>
      <w:r>
        <w:rPr>
          <w:rFonts w:eastAsiaTheme="minorEastAsia"/>
          <w:color w:val="000000" w:themeColor="text1"/>
          <w:sz w:val="26"/>
          <w:szCs w:val="26"/>
        </w:rPr>
        <w:t xml:space="preserve">12.1. Заверение об обстоятельствах: </w:t>
      </w:r>
      <w:r>
        <w:rPr>
          <w:color w:val="000000"/>
        </w:rPr>
      </w:r>
      <w:r>
        <w:rPr>
          <w:color w:val="000000"/>
        </w:rPr>
      </w:r>
    </w:p>
    <w:p>
      <w:pPr>
        <w:ind w:firstLine="709"/>
        <w:jc w:val="both"/>
        <w:shd w:val="clear" w:color="auto" w:fill="ffffff"/>
        <w:rPr>
          <w:color w:val="000000"/>
        </w:rPr>
      </w:pPr>
      <w:r>
        <w:rPr>
          <w:rFonts w:eastAsiaTheme="minorEastAsia"/>
          <w:color w:val="000000" w:themeColor="text1"/>
          <w:sz w:val="26"/>
          <w:szCs w:val="26"/>
        </w:rPr>
        <w:t xml:space="preserve">В соответствии со ст. 431.2 Гражданского кодекса Российской Федерации Поставщик заверяет Покупателя, что на момент заключения Договора:</w:t>
      </w:r>
      <w:r>
        <w:rPr>
          <w:color w:val="000000"/>
        </w:rPr>
      </w:r>
      <w:r>
        <w:rPr>
          <w:color w:val="000000"/>
        </w:rPr>
      </w:r>
    </w:p>
    <w:p>
      <w:pPr>
        <w:pStyle w:val="972"/>
        <w:contextualSpacing/>
        <w:ind w:left="0" w:firstLine="709"/>
        <w:jc w:val="both"/>
        <w:widowControl/>
        <w:rPr>
          <w:color w:val="000000"/>
        </w:rPr>
      </w:pPr>
      <w:r>
        <w:rPr>
          <w:rFonts w:eastAsiaTheme="minorEastAsia"/>
          <w:color w:val="000000" w:themeColor="text1"/>
          <w:sz w:val="26"/>
          <w:szCs w:val="26"/>
        </w:rPr>
        <w:t xml:space="preserve">12.1.1. Работники и иные физические лица, привлекаемые Поставщиком для исполнения обязательств, возникших из настоящего </w:t>
      </w:r>
      <w:r>
        <w:rPr>
          <w:rFonts w:eastAsiaTheme="minorEastAsia"/>
          <w:color w:val="000000" w:themeColor="text1"/>
          <w:sz w:val="26"/>
          <w:szCs w:val="26"/>
        </w:rPr>
        <w:t xml:space="preserve">Договора, имеют необходимые для этого знания, опыт и квалификацию, подтверждаемые соответствующими документами;  </w:t>
      </w:r>
      <w:r>
        <w:rPr>
          <w:color w:val="000000"/>
        </w:rPr>
      </w:r>
      <w:r>
        <w:rPr>
          <w:color w:val="000000"/>
        </w:rPr>
      </w:r>
    </w:p>
    <w:p>
      <w:pPr>
        <w:contextualSpacing/>
        <w:ind w:firstLine="709"/>
        <w:jc w:val="both"/>
        <w:widowControl/>
        <w:rPr>
          <w:color w:val="000000"/>
        </w:rPr>
      </w:pPr>
      <w:r>
        <w:rPr>
          <w:rFonts w:eastAsiaTheme="minorEastAsia"/>
          <w:color w:val="000000" w:themeColor="text1"/>
          <w:sz w:val="26"/>
          <w:szCs w:val="26"/>
        </w:rPr>
        <w:t xml:space="preserve">12.1.2. Поставщик, а также привлекаемые им в целях исполнения Договора лица (субподрядчики, </w:t>
      </w:r>
      <w:r>
        <w:rPr>
          <w:rFonts w:eastAsiaTheme="minorEastAsia"/>
          <w:color w:val="000000" w:themeColor="text1"/>
          <w:sz w:val="26"/>
          <w:szCs w:val="26"/>
        </w:rPr>
        <w:t xml:space="preserve">субисполнители</w:t>
      </w:r>
      <w:r>
        <w:rPr>
          <w:rFonts w:eastAsiaTheme="minorEastAsia"/>
          <w:color w:val="000000" w:themeColor="text1"/>
          <w:sz w:val="26"/>
          <w:szCs w:val="26"/>
        </w:rPr>
        <w:t xml:space="preserve">, субпоставщики и т.п.) обладают рес</w:t>
      </w:r>
      <w:r>
        <w:rPr>
          <w:rFonts w:eastAsiaTheme="minorEastAsia"/>
          <w:color w:val="000000" w:themeColor="text1"/>
          <w:sz w:val="26"/>
          <w:szCs w:val="26"/>
        </w:rPr>
        <w:t xml:space="preserve">урсами, технологиями, деловыми связями, знаниями, навыками и умениями, а также опытом, необходимым для исполнения обязательств, возникших из Договора;</w:t>
      </w:r>
      <w:r>
        <w:rPr>
          <w:color w:val="000000"/>
        </w:rPr>
      </w:r>
      <w:r>
        <w:rPr>
          <w:color w:val="000000"/>
        </w:rPr>
      </w:r>
    </w:p>
    <w:p>
      <w:pPr>
        <w:contextualSpacing/>
        <w:ind w:firstLine="709"/>
        <w:jc w:val="both"/>
        <w:widowControl/>
        <w:rPr>
          <w:color w:val="000000"/>
        </w:rPr>
      </w:pPr>
      <w:r>
        <w:rPr>
          <w:rFonts w:eastAsiaTheme="minorEastAsia"/>
          <w:color w:val="000000" w:themeColor="text1"/>
          <w:sz w:val="26"/>
          <w:szCs w:val="26"/>
        </w:rPr>
        <w:t xml:space="preserve">12.1.3. Поставщик, а также привлекаемые им в целях исполнения Договора лица (субподрядчики, </w:t>
      </w:r>
      <w:r>
        <w:rPr>
          <w:rFonts w:eastAsiaTheme="minorEastAsia"/>
          <w:color w:val="000000" w:themeColor="text1"/>
          <w:sz w:val="26"/>
          <w:szCs w:val="26"/>
        </w:rPr>
        <w:t xml:space="preserve">субисполнител</w:t>
      </w:r>
      <w:r>
        <w:rPr>
          <w:rFonts w:eastAsiaTheme="minorEastAsia"/>
          <w:color w:val="000000" w:themeColor="text1"/>
          <w:sz w:val="26"/>
          <w:szCs w:val="26"/>
        </w:rPr>
        <w:t xml:space="preserve">и</w:t>
      </w:r>
      <w:r>
        <w:rPr>
          <w:rFonts w:eastAsiaTheme="minorEastAsia"/>
          <w:color w:val="000000" w:themeColor="text1"/>
          <w:sz w:val="26"/>
          <w:szCs w:val="26"/>
        </w:rPr>
        <w:t xml:space="preserve">, субпоставщики и т.п.) являются добросовестными налогоплательщиками, в отношении каждого привлечённого лица (субподрядчика, </w:t>
      </w:r>
      <w:r>
        <w:rPr>
          <w:rFonts w:eastAsiaTheme="minorEastAsia"/>
          <w:color w:val="000000" w:themeColor="text1"/>
          <w:sz w:val="26"/>
          <w:szCs w:val="26"/>
        </w:rPr>
        <w:t xml:space="preserve">субисполнителя</w:t>
      </w:r>
      <w:r>
        <w:rPr>
          <w:rFonts w:eastAsiaTheme="minorEastAsia"/>
          <w:color w:val="000000" w:themeColor="text1"/>
          <w:sz w:val="26"/>
          <w:szCs w:val="26"/>
        </w:rPr>
        <w:t xml:space="preserve">, субпоставщика и т.п.) Поставщик располагает необходимыми документами, свидетельствующими о соблюдении привлеченным</w:t>
      </w:r>
      <w:r>
        <w:rPr>
          <w:rFonts w:eastAsiaTheme="minorEastAsia"/>
          <w:color w:val="000000" w:themeColor="text1"/>
          <w:sz w:val="26"/>
          <w:szCs w:val="26"/>
        </w:rPr>
        <w:t xml:space="preserve">и контрагентами требований налогового законодательства; </w:t>
      </w:r>
      <w:r>
        <w:rPr>
          <w:color w:val="000000"/>
        </w:rPr>
      </w:r>
      <w:r>
        <w:rPr>
          <w:color w:val="000000"/>
        </w:rPr>
      </w:r>
    </w:p>
    <w:p>
      <w:pPr>
        <w:contextualSpacing/>
        <w:ind w:firstLine="709"/>
        <w:jc w:val="both"/>
        <w:widowControl/>
        <w:rPr>
          <w:color w:val="000000"/>
        </w:rPr>
      </w:pPr>
      <w:r>
        <w:rPr>
          <w:rFonts w:eastAsiaTheme="minorEastAsia"/>
          <w:color w:val="000000" w:themeColor="text1"/>
          <w:sz w:val="26"/>
          <w:szCs w:val="26"/>
        </w:rPr>
        <w:t xml:space="preserve">12.1.4. Обязательства по Договору будут исполняться непосредственно Поставщиком и (или) лицом (лицами), на которого (которых) Поставщик возложил исполнение обязательств по соответствующему Договору. </w:t>
      </w:r>
      <w:r>
        <w:rPr>
          <w:rFonts w:eastAsiaTheme="minorEastAsia"/>
          <w:color w:val="000000" w:themeColor="text1"/>
          <w:sz w:val="26"/>
          <w:szCs w:val="26"/>
        </w:rPr>
        <w:t xml:space="preserve">Поставщик несет ответственность за действительность отношений с лицами, привлекаемыми им в целях исполнения обязательств по Договору.</w:t>
      </w:r>
      <w:r>
        <w:rPr>
          <w:color w:val="000000"/>
        </w:rPr>
      </w:r>
      <w:r>
        <w:rPr>
          <w:color w:val="000000"/>
        </w:rPr>
      </w:r>
    </w:p>
    <w:p>
      <w:pPr>
        <w:pStyle w:val="972"/>
        <w:contextualSpacing/>
        <w:ind w:left="0" w:firstLine="709"/>
        <w:jc w:val="both"/>
        <w:widowControl/>
        <w:rPr>
          <w:color w:val="000000"/>
        </w:rPr>
      </w:pPr>
      <w:r>
        <w:rPr>
          <w:rFonts w:eastAsiaTheme="minorEastAsia"/>
          <w:color w:val="000000" w:themeColor="text1"/>
          <w:sz w:val="26"/>
          <w:szCs w:val="26"/>
        </w:rPr>
        <w:t xml:space="preserve">Покупатель полагается на указанные в настоящем пункте заверения об обстоятельствах при заключении и исполнения настоящего </w:t>
      </w:r>
      <w:r>
        <w:rPr>
          <w:rFonts w:eastAsiaTheme="minorEastAsia"/>
          <w:color w:val="000000" w:themeColor="text1"/>
          <w:sz w:val="26"/>
          <w:szCs w:val="26"/>
        </w:rPr>
        <w:t xml:space="preserve">Договора, каждое из указанных заверений имеет для Покупателя существенной значение. </w:t>
      </w:r>
      <w:r>
        <w:rPr>
          <w:color w:val="000000"/>
        </w:rPr>
      </w:r>
      <w:r>
        <w:rPr>
          <w:color w:val="000000"/>
        </w:rPr>
      </w:r>
    </w:p>
    <w:p>
      <w:pPr>
        <w:ind w:firstLine="709"/>
        <w:jc w:val="both"/>
        <w:shd w:val="clear" w:color="auto" w:fill="ffffff"/>
        <w:rPr>
          <w:color w:val="000000"/>
        </w:rPr>
      </w:pPr>
      <w:r>
        <w:rPr>
          <w:rFonts w:eastAsiaTheme="minorEastAsia"/>
          <w:color w:val="000000" w:themeColor="text1"/>
          <w:sz w:val="26"/>
          <w:szCs w:val="26"/>
        </w:rPr>
        <w:t xml:space="preserve">12.2. В соответствии со ст. 307 Гражданского кодекса Российской Федерации Поставщик обязуется обеспечить соответствие своей деятельности и деятельности привлекаемых им лиц</w:t>
      </w:r>
      <w:r>
        <w:rPr>
          <w:rFonts w:eastAsiaTheme="minorEastAsia"/>
          <w:color w:val="000000" w:themeColor="text1"/>
          <w:sz w:val="26"/>
          <w:szCs w:val="26"/>
        </w:rPr>
        <w:t xml:space="preserve"> (субподрядчиков, </w:t>
      </w:r>
      <w:r>
        <w:rPr>
          <w:rFonts w:eastAsiaTheme="minorEastAsia"/>
          <w:color w:val="000000" w:themeColor="text1"/>
          <w:sz w:val="26"/>
          <w:szCs w:val="26"/>
        </w:rPr>
        <w:t xml:space="preserve">субисполнителей</w:t>
      </w:r>
      <w:r>
        <w:rPr>
          <w:rFonts w:eastAsiaTheme="minorEastAsia"/>
          <w:color w:val="000000" w:themeColor="text1"/>
          <w:sz w:val="26"/>
          <w:szCs w:val="26"/>
        </w:rPr>
        <w:t xml:space="preserve">, субпоставщиков и т.п.) условиям, указанным в пункте 12.1. Договора, в налоговых периодах, в течении которых осуществляется исполнение обязательств по Договору, совершаются какие-либо операции по Договору. В этом смысле вс</w:t>
      </w:r>
      <w:r>
        <w:rPr>
          <w:rFonts w:eastAsiaTheme="minorEastAsia"/>
          <w:color w:val="000000" w:themeColor="text1"/>
          <w:sz w:val="26"/>
          <w:szCs w:val="26"/>
        </w:rPr>
        <w:t xml:space="preserve">е обязательства, в отношении которых Поставщик дает заверение в п. 12.1. Договора на момент его заключения, одновременно являются условиями, исполнение которых Поставщик обязуется обеспечить в будущем и отвечать за их неисполнение по правилам гл. 25 Гражда</w:t>
      </w:r>
      <w:r>
        <w:rPr>
          <w:rFonts w:eastAsiaTheme="minorEastAsia"/>
          <w:color w:val="000000" w:themeColor="text1"/>
          <w:sz w:val="26"/>
          <w:szCs w:val="26"/>
        </w:rPr>
        <w:t xml:space="preserve">нского кодекса Российской Федерации.</w:t>
      </w:r>
      <w:r>
        <w:rPr>
          <w:color w:val="000000"/>
        </w:rPr>
      </w:r>
      <w:r>
        <w:rPr>
          <w:color w:val="000000"/>
        </w:rPr>
      </w:r>
    </w:p>
    <w:p>
      <w:pPr>
        <w:ind w:left="709"/>
        <w:jc w:val="both"/>
        <w:shd w:val="clear" w:color="auto" w:fill="ffffff"/>
        <w:rPr>
          <w:color w:val="000000"/>
        </w:rPr>
      </w:pPr>
      <w:r>
        <w:rPr>
          <w:rFonts w:eastAsiaTheme="minorEastAsia"/>
          <w:color w:val="000000" w:themeColor="text1"/>
          <w:sz w:val="26"/>
          <w:szCs w:val="26"/>
        </w:rPr>
        <w:t xml:space="preserve">12.3. Возмещение имущественных потерь:</w:t>
      </w:r>
      <w:r>
        <w:rPr>
          <w:color w:val="000000"/>
        </w:rPr>
      </w:r>
      <w:r>
        <w:rPr>
          <w:color w:val="000000"/>
        </w:rPr>
      </w:r>
    </w:p>
    <w:p>
      <w:pPr>
        <w:ind w:firstLine="708"/>
        <w:jc w:val="both"/>
        <w:shd w:val="clear" w:color="auto" w:fill="ffffff"/>
        <w:rPr>
          <w:color w:val="000000"/>
        </w:rPr>
      </w:pPr>
      <w:r>
        <w:rPr>
          <w:rFonts w:eastAsiaTheme="minorEastAsia"/>
          <w:color w:val="000000" w:themeColor="text1"/>
          <w:sz w:val="26"/>
          <w:szCs w:val="26"/>
        </w:rPr>
        <w:t xml:space="preserve">В соответствии со ст. 406.1. Гражданского кодекса Российской Федерации Поставщик обязуется возместить Покупателю полностью все его имущественные потери, возникшие в связи с неиспол</w:t>
      </w:r>
      <w:r>
        <w:rPr>
          <w:rFonts w:eastAsiaTheme="minorEastAsia"/>
          <w:color w:val="000000" w:themeColor="text1"/>
          <w:sz w:val="26"/>
          <w:szCs w:val="26"/>
        </w:rPr>
        <w:t xml:space="preserve">нением или в связи с ненадлежащим исполнением Поставщиком своих налоговых обязанностей, либо в связи с привлечением им в качестве своих контрагентов (</w:t>
      </w:r>
      <w:r>
        <w:rPr>
          <w:rFonts w:eastAsiaTheme="minorEastAsia"/>
          <w:color w:val="000000"/>
          <w:sz w:val="26"/>
          <w:szCs w:val="26"/>
        </w:rPr>
        <w:t xml:space="preserve">например, субподрядчиков, субпоставщиков</w:t>
      </w:r>
      <w:r>
        <w:rPr>
          <w:rFonts w:eastAsiaTheme="minorEastAsia"/>
          <w:color w:val="000000" w:themeColor="text1"/>
          <w:sz w:val="26"/>
          <w:szCs w:val="26"/>
        </w:rPr>
        <w:t xml:space="preserve">) организаций, не исполняющих или ненадлежащим образом исполняющих</w:t>
      </w:r>
      <w:r>
        <w:rPr>
          <w:rFonts w:eastAsiaTheme="minorEastAsia"/>
          <w:color w:val="000000" w:themeColor="text1"/>
          <w:sz w:val="26"/>
          <w:szCs w:val="26"/>
        </w:rPr>
        <w:t xml:space="preserve"> свои налоговые обязанности или имеющих иные признаки недобросовестности, либо  в связи с привлечением контрагентами Поставщика в качестве своих контрагентов организаций, не исполняющих либо ненадлежащим образом исполняющих свои налоговые обязанности или и</w:t>
      </w:r>
      <w:r>
        <w:rPr>
          <w:rFonts w:eastAsiaTheme="minorEastAsia"/>
          <w:color w:val="000000" w:themeColor="text1"/>
          <w:sz w:val="26"/>
          <w:szCs w:val="26"/>
        </w:rPr>
        <w:t xml:space="preserve">меющих иные признаки недобросовестности не зависимо от длинны цепочки контрагентов (и в любом из указанных случаев – независимо от того, знал ли Поставщик о данных фактах или нет), в случае наступления совокупности следующих </w:t>
      </w:r>
      <w:r>
        <w:rPr>
          <w:rFonts w:eastAsiaTheme="minorEastAsia"/>
          <w:color w:val="000000" w:themeColor="text1"/>
          <w:sz w:val="26"/>
          <w:szCs w:val="26"/>
        </w:rPr>
        <w:t xml:space="preserve">обстоятельств:   </w:t>
      </w:r>
      <w:r>
        <w:rPr>
          <w:color w:val="000000"/>
        </w:rPr>
      </w:r>
      <w:r>
        <w:rPr>
          <w:color w:val="000000"/>
        </w:rPr>
      </w:r>
    </w:p>
    <w:p>
      <w:pPr>
        <w:pStyle w:val="1013"/>
        <w:numPr>
          <w:ilvl w:val="0"/>
          <w:numId w:val="0"/>
        </w:numPr>
        <w:contextualSpacing/>
        <w:ind w:firstLine="709"/>
        <w:rPr>
          <w:color w:val="000000"/>
        </w:rPr>
      </w:pPr>
      <w:r>
        <w:rPr>
          <w:rStyle w:val="1009"/>
          <w:rFonts w:ascii="Times New Roman" w:hAnsi="Times New Roman" w:cs="Times New Roman" w:eastAsiaTheme="minorEastAsia"/>
          <w:color w:val="000000" w:themeColor="text1"/>
          <w:sz w:val="26"/>
          <w:szCs w:val="26"/>
        </w:rPr>
        <w:t xml:space="preserve">12.3.1. В пор</w:t>
      </w:r>
      <w:r>
        <w:rPr>
          <w:rStyle w:val="1009"/>
          <w:rFonts w:ascii="Times New Roman" w:hAnsi="Times New Roman" w:cs="Times New Roman" w:eastAsiaTheme="minorEastAsia"/>
          <w:color w:val="000000" w:themeColor="text1"/>
          <w:sz w:val="26"/>
          <w:szCs w:val="26"/>
        </w:rPr>
        <w:t xml:space="preserve">ядке при</w:t>
      </w:r>
      <w:r>
        <w:rPr>
          <w:rStyle w:val="1009"/>
          <w:rFonts w:ascii="Times New Roman" w:hAnsi="Times New Roman" w:cs="Times New Roman" w:eastAsiaTheme="minorEastAsia"/>
          <w:color w:val="000000" w:themeColor="text1"/>
          <w:sz w:val="26"/>
          <w:szCs w:val="26"/>
        </w:rPr>
        <w:t xml:space="preserve">менения ст. 101, 105.17 Налогового кодекса Российской Федерации налоговым органом в отношении Покупателя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</w:t>
      </w:r>
      <w:r>
        <w:rPr>
          <w:rStyle w:val="1009"/>
          <w:rFonts w:ascii="Times New Roman" w:hAnsi="Times New Roman" w:cs="Times New Roman" w:eastAsiaTheme="minorEastAsia"/>
          <w:color w:val="000000" w:themeColor="text1"/>
          <w:sz w:val="26"/>
          <w:szCs w:val="26"/>
        </w:rPr>
        <w:t xml:space="preserve"> недоимки по налогам (налог на прибыль, НДС), соответствующих сумм штрафов, пеней (далее - «Решение налогового органа»);</w:t>
      </w:r>
      <w:r>
        <w:rPr>
          <w:color w:val="000000"/>
        </w:rPr>
      </w:r>
      <w:r>
        <w:rPr>
          <w:color w:val="000000"/>
        </w:rPr>
      </w:r>
    </w:p>
    <w:p>
      <w:pPr>
        <w:pStyle w:val="1013"/>
        <w:numPr>
          <w:ilvl w:val="0"/>
          <w:numId w:val="0"/>
        </w:numPr>
        <w:contextualSpacing/>
        <w:ind w:firstLine="709"/>
        <w:rPr>
          <w:color w:val="000000"/>
        </w:rPr>
      </w:pPr>
      <w:r>
        <w:rPr>
          <w:rStyle w:val="1009"/>
          <w:rFonts w:ascii="Times New Roman" w:hAnsi="Times New Roman" w:cs="Times New Roman" w:eastAsiaTheme="minorEastAsia"/>
          <w:color w:val="000000" w:themeColor="text1"/>
          <w:sz w:val="26"/>
          <w:szCs w:val="26"/>
        </w:rPr>
        <w:t xml:space="preserve">12.3.2. С</w:t>
      </w:r>
      <w:r>
        <w:rPr>
          <w:rFonts w:eastAsiaTheme="minorEastAsia"/>
          <w:color w:val="000000" w:themeColor="text1"/>
          <w:szCs w:val="26"/>
        </w:rPr>
        <w:t xml:space="preserve">уммы недоимки по налогам (налог на прибыль, НДС), соответствующие суммы штрафов (если применимо), пеней списаны с банковского </w:t>
      </w:r>
      <w:r>
        <w:rPr>
          <w:rFonts w:eastAsiaTheme="minorEastAsia"/>
          <w:color w:val="000000" w:themeColor="text1"/>
          <w:szCs w:val="26"/>
        </w:rPr>
        <w:t xml:space="preserve">счета Покупателя в </w:t>
      </w:r>
      <w:r>
        <w:rPr>
          <w:rFonts w:eastAsiaTheme="minorEastAsia"/>
          <w:color w:val="000000" w:themeColor="text1"/>
          <w:szCs w:val="26"/>
        </w:rPr>
        <w:t xml:space="preserve">безакцептном</w:t>
      </w:r>
      <w:r>
        <w:rPr>
          <w:rFonts w:eastAsiaTheme="minorEastAsia"/>
          <w:color w:val="000000" w:themeColor="text1"/>
          <w:szCs w:val="26"/>
        </w:rPr>
        <w:t xml:space="preserve"> порядке или перечислены Покупателем добровольно (в следствии добровольного отказа Покупателя от применения вычета по операциям с Поставщиком) в соответствии с решением налогового органа </w:t>
      </w:r>
      <w:r>
        <w:rPr>
          <w:rFonts w:eastAsiaTheme="minorEastAsia"/>
          <w:color w:val="000000" w:themeColor="text1"/>
          <w:szCs w:val="26"/>
        </w:rPr>
        <w:t xml:space="preserve">или по мотивированному мнению</w:t>
      </w:r>
      <w:r>
        <w:rPr>
          <w:rFonts w:eastAsiaTheme="minorEastAsia"/>
          <w:color w:val="000000" w:themeColor="text1"/>
          <w:szCs w:val="26"/>
        </w:rPr>
        <w:t xml:space="preserve"> налогово</w:t>
      </w:r>
      <w:r>
        <w:rPr>
          <w:rFonts w:eastAsiaTheme="minorEastAsia"/>
          <w:color w:val="000000" w:themeColor="text1"/>
          <w:szCs w:val="26"/>
        </w:rPr>
        <w:t xml:space="preserve">го органа</w:t>
      </w:r>
      <w:r>
        <w:rPr>
          <w:rStyle w:val="1009"/>
          <w:rFonts w:ascii="Times New Roman" w:hAnsi="Times New Roman" w:cs="Times New Roman" w:eastAsiaTheme="minorEastAsia"/>
          <w:color w:val="000000" w:themeColor="text1"/>
          <w:sz w:val="26"/>
          <w:szCs w:val="26"/>
        </w:rPr>
        <w:t xml:space="preserve">.</w:t>
      </w:r>
      <w:r>
        <w:rPr>
          <w:color w:val="000000"/>
        </w:rPr>
      </w:r>
      <w:r>
        <w:rPr>
          <w:color w:val="000000"/>
        </w:rPr>
      </w:r>
    </w:p>
    <w:p>
      <w:pPr>
        <w:pStyle w:val="1013"/>
        <w:numPr>
          <w:ilvl w:val="0"/>
          <w:numId w:val="0"/>
        </w:numPr>
        <w:contextualSpacing/>
        <w:tabs>
          <w:tab w:val="left" w:pos="709" w:leader="none"/>
          <w:tab w:val="left" w:pos="993" w:leader="none"/>
        </w:tabs>
        <w:rPr>
          <w:color w:val="000000"/>
        </w:rPr>
      </w:pPr>
      <w:r>
        <w:rPr>
          <w:rStyle w:val="1009"/>
          <w:rFonts w:ascii="Times New Roman" w:hAnsi="Times New Roman" w:cs="Times New Roman" w:eastAsiaTheme="minorEastAsia"/>
          <w:color w:val="000000" w:themeColor="text1"/>
          <w:sz w:val="26"/>
          <w:szCs w:val="26"/>
        </w:rPr>
        <w:tab/>
        <w:t xml:space="preserve">Размер имущественных потерь Покупателя определяется как совокупность следующих сумм:</w:t>
      </w:r>
      <w:r>
        <w:rPr>
          <w:color w:val="000000"/>
        </w:rPr>
      </w:r>
      <w:r>
        <w:rPr>
          <w:color w:val="000000"/>
        </w:rPr>
      </w:r>
    </w:p>
    <w:p>
      <w:pPr>
        <w:pStyle w:val="1013"/>
        <w:numPr>
          <w:ilvl w:val="0"/>
          <w:numId w:val="0"/>
        </w:numPr>
        <w:contextualSpacing/>
        <w:ind w:firstLine="709"/>
        <w:tabs>
          <w:tab w:val="left" w:pos="460" w:leader="none"/>
          <w:tab w:val="left" w:pos="993" w:leader="none"/>
        </w:tabs>
        <w:rPr>
          <w:color w:val="000000"/>
        </w:rPr>
      </w:pPr>
      <w:r>
        <w:rPr>
          <w:rStyle w:val="1009"/>
          <w:rFonts w:ascii="Times New Roman" w:hAnsi="Times New Roman" w:cs="Times New Roman" w:eastAsiaTheme="minorEastAsia"/>
          <w:color w:val="000000" w:themeColor="text1"/>
          <w:sz w:val="26"/>
          <w:szCs w:val="26"/>
        </w:rPr>
        <w:t xml:space="preserve">- суммы налога на прибыль и/или НДС, </w:t>
      </w:r>
      <w:r>
        <w:rPr>
          <w:rStyle w:val="1009"/>
          <w:rFonts w:ascii="Times New Roman" w:hAnsi="Times New Roman" w:cs="Times New Roman" w:eastAsiaTheme="minorEastAsia"/>
          <w:color w:val="000000" w:themeColor="text1"/>
          <w:sz w:val="26"/>
          <w:szCs w:val="26"/>
        </w:rPr>
        <w:t xml:space="preserve">доначисленного</w:t>
      </w:r>
      <w:r>
        <w:rPr>
          <w:rStyle w:val="1009"/>
          <w:rFonts w:ascii="Times New Roman" w:hAnsi="Times New Roman" w:cs="Times New Roman" w:eastAsiaTheme="minorEastAsia"/>
          <w:color w:val="000000" w:themeColor="text1"/>
          <w:sz w:val="26"/>
          <w:szCs w:val="26"/>
        </w:rPr>
        <w:t xml:space="preserve"> Покупателю в связи с эпизодами, связанными с Поставщиком, или уплаченного Покупателем в бюджет вследствие д</w:t>
      </w:r>
      <w:r>
        <w:rPr>
          <w:rStyle w:val="1009"/>
          <w:rFonts w:ascii="Times New Roman" w:hAnsi="Times New Roman" w:cs="Times New Roman" w:eastAsiaTheme="minorEastAsia"/>
          <w:color w:val="000000" w:themeColor="text1"/>
          <w:sz w:val="26"/>
          <w:szCs w:val="26"/>
        </w:rPr>
        <w:t xml:space="preserve">обровольного отказа Покупателя от применения вычета по операциям с Поставщиком («</w:t>
      </w:r>
      <w:r>
        <w:rPr>
          <w:rStyle w:val="1009"/>
          <w:rFonts w:ascii="Times New Roman" w:hAnsi="Times New Roman" w:cs="Times New Roman" w:eastAsiaTheme="minorEastAsia"/>
          <w:color w:val="000000" w:themeColor="text1"/>
          <w:sz w:val="26"/>
          <w:szCs w:val="26"/>
        </w:rPr>
        <w:t xml:space="preserve">Доначисленные</w:t>
      </w:r>
      <w:r>
        <w:rPr>
          <w:rStyle w:val="1009"/>
          <w:rFonts w:ascii="Times New Roman" w:hAnsi="Times New Roman" w:cs="Times New Roman" w:eastAsiaTheme="minorEastAsia"/>
          <w:color w:val="000000" w:themeColor="text1"/>
          <w:sz w:val="26"/>
          <w:szCs w:val="26"/>
        </w:rPr>
        <w:t xml:space="preserve"> налоги») в соответствии с Решением налогового органа или Мотивированным мнением; плюс</w:t>
      </w:r>
      <w:r>
        <w:rPr>
          <w:color w:val="000000"/>
        </w:rPr>
      </w:r>
      <w:r>
        <w:rPr>
          <w:color w:val="000000"/>
        </w:rPr>
      </w:r>
    </w:p>
    <w:p>
      <w:pPr>
        <w:pStyle w:val="1013"/>
        <w:numPr>
          <w:ilvl w:val="0"/>
          <w:numId w:val="0"/>
        </w:numPr>
        <w:contextualSpacing/>
        <w:ind w:firstLine="709"/>
        <w:tabs>
          <w:tab w:val="left" w:pos="460" w:leader="none"/>
          <w:tab w:val="left" w:pos="993" w:leader="none"/>
        </w:tabs>
        <w:rPr>
          <w:color w:val="000000"/>
        </w:rPr>
      </w:pPr>
      <w:r>
        <w:rPr>
          <w:rStyle w:val="1009"/>
          <w:rFonts w:ascii="Times New Roman" w:hAnsi="Times New Roman" w:cs="Times New Roman" w:eastAsiaTheme="minorEastAsia"/>
          <w:color w:val="000000" w:themeColor="text1"/>
          <w:sz w:val="26"/>
          <w:szCs w:val="26"/>
        </w:rPr>
        <w:t xml:space="preserve">- суммы начисленных Покупателю пеней на сумму </w:t>
      </w:r>
      <w:r>
        <w:rPr>
          <w:rStyle w:val="1009"/>
          <w:rFonts w:ascii="Times New Roman" w:hAnsi="Times New Roman" w:cs="Times New Roman" w:eastAsiaTheme="minorEastAsia"/>
          <w:color w:val="000000" w:themeColor="text1"/>
          <w:sz w:val="26"/>
          <w:szCs w:val="26"/>
        </w:rPr>
        <w:t xml:space="preserve">Доначисленных</w:t>
      </w:r>
      <w:r>
        <w:rPr>
          <w:rStyle w:val="1009"/>
          <w:rFonts w:ascii="Times New Roman" w:hAnsi="Times New Roman" w:cs="Times New Roman" w:eastAsiaTheme="minorEastAsia"/>
          <w:color w:val="000000" w:themeColor="text1"/>
          <w:sz w:val="26"/>
          <w:szCs w:val="26"/>
        </w:rPr>
        <w:t xml:space="preserve"> налогов в соотв</w:t>
      </w:r>
      <w:r>
        <w:rPr>
          <w:rStyle w:val="1009"/>
          <w:rFonts w:ascii="Times New Roman" w:hAnsi="Times New Roman" w:cs="Times New Roman" w:eastAsiaTheme="minorEastAsia"/>
          <w:color w:val="000000" w:themeColor="text1"/>
          <w:sz w:val="26"/>
          <w:szCs w:val="26"/>
        </w:rPr>
        <w:t xml:space="preserve">етствии с Решением налогового органа («пени») или Мотивированным мнением; плюс</w:t>
      </w:r>
      <w:r>
        <w:rPr>
          <w:color w:val="000000"/>
        </w:rPr>
      </w:r>
      <w:r>
        <w:rPr>
          <w:color w:val="000000"/>
        </w:rPr>
      </w:r>
    </w:p>
    <w:p>
      <w:pPr>
        <w:pStyle w:val="1013"/>
        <w:numPr>
          <w:ilvl w:val="0"/>
          <w:numId w:val="0"/>
        </w:numPr>
        <w:contextualSpacing/>
        <w:ind w:firstLine="709"/>
        <w:tabs>
          <w:tab w:val="left" w:pos="460" w:leader="none"/>
          <w:tab w:val="left" w:pos="993" w:leader="none"/>
        </w:tabs>
        <w:rPr>
          <w:color w:val="000000"/>
        </w:rPr>
      </w:pPr>
      <w:r>
        <w:rPr>
          <w:rStyle w:val="1009"/>
          <w:rFonts w:ascii="Times New Roman" w:hAnsi="Times New Roman" w:cs="Times New Roman" w:eastAsiaTheme="minorEastAsia"/>
          <w:color w:val="000000" w:themeColor="text1"/>
          <w:sz w:val="26"/>
          <w:szCs w:val="26"/>
        </w:rPr>
        <w:t xml:space="preserve">- штрафов, начисленных Покупателю за соответствующие налоговые нарушения в связи с неуплатой ею </w:t>
      </w:r>
      <w:r>
        <w:rPr>
          <w:rStyle w:val="1009"/>
          <w:rFonts w:ascii="Times New Roman" w:hAnsi="Times New Roman" w:cs="Times New Roman" w:eastAsiaTheme="minorEastAsia"/>
          <w:color w:val="000000" w:themeColor="text1"/>
          <w:sz w:val="26"/>
          <w:szCs w:val="26"/>
        </w:rPr>
        <w:t xml:space="preserve">Доначисленных</w:t>
      </w:r>
      <w:r>
        <w:rPr>
          <w:rStyle w:val="1009"/>
          <w:rFonts w:ascii="Times New Roman" w:hAnsi="Times New Roman" w:cs="Times New Roman" w:eastAsiaTheme="minorEastAsia"/>
          <w:color w:val="000000" w:themeColor="text1"/>
          <w:sz w:val="26"/>
          <w:szCs w:val="26"/>
        </w:rPr>
        <w:t xml:space="preserve"> налогов в соответствии с решением налогового органа «Штрафы».</w:t>
      </w:r>
      <w:r>
        <w:rPr>
          <w:color w:val="000000"/>
        </w:rPr>
      </w:r>
      <w:r>
        <w:rPr>
          <w:color w:val="000000"/>
        </w:rPr>
      </w:r>
    </w:p>
    <w:p>
      <w:pPr>
        <w:pStyle w:val="972"/>
        <w:ind w:left="0" w:firstLine="567"/>
        <w:jc w:val="both"/>
        <w:tabs>
          <w:tab w:val="left" w:pos="460" w:leader="none"/>
        </w:tabs>
        <w:rPr>
          <w:color w:val="000000"/>
        </w:rPr>
      </w:pPr>
      <w:r>
        <w:rPr>
          <w:rStyle w:val="1009"/>
          <w:rFonts w:ascii="Times New Roman" w:hAnsi="Times New Roman" w:cs="Times New Roman" w:eastAsiaTheme="minorEastAsia"/>
          <w:color w:val="000000" w:themeColor="text1"/>
          <w:sz w:val="26"/>
          <w:szCs w:val="26"/>
        </w:rPr>
        <w:t xml:space="preserve">Поставщик возмещает Покупателю указанные в настоящем пункте имущественные потери в течение 10 (десяти) дней с даты предъявления Покупателем соответствующего требования.</w:t>
      </w:r>
      <w:r>
        <w:rPr>
          <w:color w:val="000000"/>
        </w:rPr>
      </w:r>
      <w:r>
        <w:rPr>
          <w:color w:val="000000"/>
        </w:rPr>
      </w:r>
    </w:p>
    <w:p>
      <w:pPr>
        <w:pStyle w:val="972"/>
        <w:ind w:left="0" w:firstLine="567"/>
        <w:jc w:val="both"/>
        <w:tabs>
          <w:tab w:val="left" w:pos="460" w:leader="none"/>
        </w:tabs>
        <w:rPr>
          <w:color w:val="000000"/>
        </w:rPr>
      </w:pPr>
      <w:r>
        <w:rPr>
          <w:rStyle w:val="1009"/>
          <w:rFonts w:ascii="Times New Roman" w:hAnsi="Times New Roman" w:cs="Times New Roman" w:eastAsiaTheme="minorEastAsia"/>
          <w:color w:val="000000" w:themeColor="text1"/>
          <w:sz w:val="26"/>
          <w:szCs w:val="26"/>
        </w:rPr>
        <w:t xml:space="preserve"> Покупатель вправе удержать сумму возмещения потерь и иных расчетов по любым сделкам с </w:t>
      </w:r>
      <w:r>
        <w:rPr>
          <w:rStyle w:val="1009"/>
          <w:rFonts w:ascii="Times New Roman" w:hAnsi="Times New Roman" w:cs="Times New Roman" w:eastAsiaTheme="minorEastAsia"/>
          <w:color w:val="000000" w:themeColor="text1"/>
          <w:sz w:val="26"/>
          <w:szCs w:val="26"/>
        </w:rPr>
        <w:t xml:space="preserve">Поставщиков (в том числе произвести зачет встречных однородных требований).</w:t>
      </w:r>
      <w:r>
        <w:rPr>
          <w:color w:val="000000"/>
        </w:rPr>
      </w:r>
      <w:r>
        <w:rPr>
          <w:color w:val="000000"/>
        </w:rPr>
      </w:r>
    </w:p>
    <w:p>
      <w:pPr>
        <w:ind w:firstLine="709"/>
        <w:jc w:val="both"/>
        <w:shd w:val="clear" w:color="auto" w:fill="ffffff"/>
        <w:rPr>
          <w:color w:val="000000"/>
        </w:rPr>
      </w:pPr>
      <w:r>
        <w:rPr>
          <w:rStyle w:val="1009"/>
          <w:rFonts w:ascii="Times New Roman" w:hAnsi="Times New Roman" w:cs="Times New Roman" w:eastAsiaTheme="minorEastAsia"/>
          <w:color w:val="000000" w:themeColor="text1"/>
          <w:sz w:val="26"/>
          <w:szCs w:val="26"/>
        </w:rPr>
        <w:t xml:space="preserve">12.4. Стороны согласовали следующие процедуры взаимодействия сторон по минимизации имущественных потерь:</w:t>
      </w:r>
      <w:r>
        <w:rPr>
          <w:color w:val="000000"/>
        </w:rPr>
      </w:r>
      <w:r>
        <w:rPr>
          <w:color w:val="000000"/>
        </w:rPr>
      </w:r>
    </w:p>
    <w:p>
      <w:pPr>
        <w:ind w:firstLine="709"/>
        <w:jc w:val="both"/>
        <w:shd w:val="clear" w:color="auto" w:fill="ffffff"/>
        <w:rPr>
          <w:color w:val="000000"/>
        </w:rPr>
      </w:pPr>
      <w:r>
        <w:rPr>
          <w:rStyle w:val="1009"/>
          <w:rFonts w:ascii="Times New Roman" w:hAnsi="Times New Roman" w:cs="Times New Roman" w:eastAsiaTheme="minorEastAsia"/>
          <w:color w:val="000000" w:themeColor="text1"/>
          <w:sz w:val="26"/>
          <w:szCs w:val="26"/>
        </w:rPr>
        <w:t xml:space="preserve">12.4.1. При получении в порядке ст. 100, 105.17 Налогового кодекса Российской Федер</w:t>
      </w:r>
      <w:r>
        <w:rPr>
          <w:rStyle w:val="1009"/>
          <w:rFonts w:ascii="Times New Roman" w:hAnsi="Times New Roman" w:cs="Times New Roman" w:eastAsiaTheme="minorEastAsia"/>
          <w:color w:val="000000" w:themeColor="text1"/>
          <w:sz w:val="26"/>
          <w:szCs w:val="26"/>
        </w:rPr>
        <w:t xml:space="preserve">ации акта налоговой проверки (далее – «Акт налоговой проверки») или – в порядке, установленном ст. 105.29 Налогового кодекса Российской Федерации – уведомление о наличии оснований для составления мотивированного мнения (далее – «Уведомление»), в котором пр</w:t>
      </w:r>
      <w:r>
        <w:rPr>
          <w:rStyle w:val="1009"/>
          <w:rFonts w:ascii="Times New Roman" w:hAnsi="Times New Roman" w:cs="Times New Roman" w:eastAsiaTheme="minorEastAsia"/>
          <w:color w:val="000000" w:themeColor="text1"/>
          <w:sz w:val="26"/>
          <w:szCs w:val="26"/>
        </w:rPr>
        <w:t xml:space="preserve">оверяющими отражены выявленные нарушения законодательства о налогах и сборах, вызванные действиями или бездействием Поставщика при исчислении и уплате налогов, а также привлеченных Поставщиком в целях исполнения обязательств по Договору </w:t>
      </w:r>
      <w:r>
        <w:rPr>
          <w:rStyle w:val="1009"/>
          <w:rFonts w:ascii="Times New Roman" w:hAnsi="Times New Roman" w:cs="Times New Roman" w:eastAsiaTheme="minorEastAsia"/>
          <w:color w:val="000000" w:themeColor="text1"/>
          <w:sz w:val="26"/>
          <w:szCs w:val="26"/>
        </w:rPr>
        <w:t xml:space="preserve">субконтрагентов</w:t>
      </w:r>
      <w:r>
        <w:rPr>
          <w:rStyle w:val="1009"/>
          <w:rFonts w:ascii="Times New Roman" w:hAnsi="Times New Roman" w:cs="Times New Roman" w:eastAsiaTheme="minorEastAsia"/>
          <w:color w:val="000000" w:themeColor="text1"/>
          <w:sz w:val="26"/>
          <w:szCs w:val="26"/>
        </w:rPr>
        <w:t xml:space="preserve"> (на</w:t>
      </w:r>
      <w:r>
        <w:rPr>
          <w:rStyle w:val="1009"/>
          <w:rFonts w:ascii="Times New Roman" w:hAnsi="Times New Roman" w:cs="Times New Roman" w:eastAsiaTheme="minorEastAsia"/>
          <w:color w:val="000000" w:themeColor="text1"/>
          <w:sz w:val="26"/>
          <w:szCs w:val="26"/>
        </w:rPr>
        <w:t xml:space="preserve">пример, субподрядчиков, </w:t>
      </w:r>
      <w:r>
        <w:rPr>
          <w:rStyle w:val="1009"/>
          <w:rFonts w:ascii="Times New Roman" w:hAnsi="Times New Roman" w:cs="Times New Roman" w:eastAsiaTheme="minorEastAsia"/>
          <w:color w:val="000000" w:themeColor="text1"/>
          <w:sz w:val="26"/>
          <w:szCs w:val="26"/>
        </w:rPr>
        <w:t xml:space="preserve">субисполнителей</w:t>
      </w:r>
      <w:r>
        <w:rPr>
          <w:rStyle w:val="1009"/>
          <w:rFonts w:ascii="Times New Roman" w:hAnsi="Times New Roman" w:cs="Times New Roman" w:eastAsiaTheme="minorEastAsia"/>
          <w:color w:val="000000" w:themeColor="text1"/>
          <w:sz w:val="26"/>
          <w:szCs w:val="26"/>
        </w:rPr>
        <w:t xml:space="preserve">, субпоставщиков), Покупатель в течение 10 (десяти) календарных дней с момента получения акта налоговой проверки и в течение 5 (пяти) календарных дней с момента получения Уведомления направляет в адрес Поставщика выпи</w:t>
      </w:r>
      <w:r>
        <w:rPr>
          <w:rStyle w:val="1009"/>
          <w:rFonts w:ascii="Times New Roman" w:hAnsi="Times New Roman" w:cs="Times New Roman" w:eastAsiaTheme="minorEastAsia"/>
          <w:color w:val="000000" w:themeColor="text1"/>
          <w:sz w:val="26"/>
          <w:szCs w:val="26"/>
        </w:rPr>
        <w:t xml:space="preserve">ску из акта налогового органа или Уведомления по соответствующему эпизоду (далее – «Выписка»).</w:t>
      </w:r>
      <w:r>
        <w:rPr>
          <w:color w:val="000000"/>
        </w:rPr>
      </w:r>
      <w:r>
        <w:rPr>
          <w:color w:val="000000"/>
        </w:rPr>
      </w:r>
    </w:p>
    <w:p>
      <w:pPr>
        <w:ind w:firstLine="709"/>
        <w:jc w:val="both"/>
        <w:shd w:val="clear" w:color="auto" w:fill="ffffff"/>
        <w:rPr>
          <w:color w:val="000000"/>
        </w:rPr>
      </w:pPr>
      <w:r>
        <w:rPr>
          <w:rStyle w:val="1009"/>
          <w:rFonts w:ascii="Times New Roman" w:hAnsi="Times New Roman" w:cs="Times New Roman" w:eastAsiaTheme="minorEastAsia"/>
          <w:color w:val="000000" w:themeColor="text1"/>
          <w:sz w:val="26"/>
          <w:szCs w:val="26"/>
        </w:rPr>
        <w:t xml:space="preserve">12.4.2. В случае несогласия с фактами, изложенными в Выписке, а также с выводами и предложениями проверяющих, Поставщик в течение 10 (десяти) </w:t>
      </w:r>
      <w:r>
        <w:rPr>
          <w:rStyle w:val="1009"/>
          <w:rFonts w:ascii="Times New Roman" w:hAnsi="Times New Roman" w:cs="Times New Roman" w:eastAsiaTheme="minorEastAsia"/>
          <w:color w:val="000000" w:themeColor="text1"/>
          <w:sz w:val="26"/>
          <w:szCs w:val="26"/>
        </w:rPr>
        <w:t xml:space="preserve">календарных дней с </w:t>
      </w:r>
      <w:r>
        <w:rPr>
          <w:rStyle w:val="1009"/>
          <w:rFonts w:ascii="Times New Roman" w:hAnsi="Times New Roman" w:cs="Times New Roman" w:eastAsiaTheme="minorEastAsia"/>
          <w:color w:val="000000" w:themeColor="text1"/>
          <w:sz w:val="26"/>
          <w:szCs w:val="26"/>
        </w:rPr>
        <w:t xml:space="preserve">момента п</w:t>
      </w:r>
      <w:r>
        <w:rPr>
          <w:rStyle w:val="1009"/>
          <w:rFonts w:ascii="Times New Roman" w:hAnsi="Times New Roman" w:cs="Times New Roman" w:eastAsiaTheme="minorEastAsia"/>
          <w:color w:val="000000" w:themeColor="text1"/>
          <w:sz w:val="26"/>
          <w:szCs w:val="26"/>
        </w:rPr>
        <w:t xml:space="preserve">олучения Выписки из акта налогового органа направляет в адрес Покупателя письменные мотивированные возражения по фактам (выводам проверяющих), содержащимся в ней, которые Покупатель обязан представить в налоговый орган в порядке пункта 6 ст. 100, 105.17  Н</w:t>
      </w:r>
      <w:r>
        <w:rPr>
          <w:rStyle w:val="1009"/>
          <w:rFonts w:ascii="Times New Roman" w:hAnsi="Times New Roman" w:cs="Times New Roman" w:eastAsiaTheme="minorEastAsia"/>
          <w:color w:val="000000" w:themeColor="text1"/>
          <w:sz w:val="26"/>
          <w:szCs w:val="26"/>
        </w:rPr>
        <w:t xml:space="preserve">алогового кодекса Российской Федерации либо в порядке пункта 2.1. ст. 105.29 Налогового кодекса Российской Федерации. </w:t>
      </w:r>
      <w:r>
        <w:rPr>
          <w:color w:val="000000"/>
        </w:rPr>
      </w:r>
      <w:r>
        <w:rPr>
          <w:color w:val="000000"/>
        </w:rPr>
      </w:r>
    </w:p>
    <w:p>
      <w:pPr>
        <w:ind w:firstLine="709"/>
        <w:jc w:val="both"/>
        <w:shd w:val="clear" w:color="auto" w:fill="ffffff"/>
        <w:rPr>
          <w:color w:val="000000"/>
        </w:rPr>
      </w:pPr>
      <w:r>
        <w:rPr>
          <w:rStyle w:val="1009"/>
          <w:rFonts w:ascii="Times New Roman" w:hAnsi="Times New Roman" w:cs="Times New Roman" w:eastAsiaTheme="minorEastAsia"/>
          <w:color w:val="000000" w:themeColor="text1"/>
          <w:sz w:val="26"/>
          <w:szCs w:val="26"/>
        </w:rPr>
        <w:t xml:space="preserve">В случае непредставления Поставщиком в указанный выше срок письменных мотивированных возражений по фактам (выводам проверяющих), содержащ</w:t>
      </w:r>
      <w:r>
        <w:rPr>
          <w:rStyle w:val="1009"/>
          <w:rFonts w:ascii="Times New Roman" w:hAnsi="Times New Roman" w:cs="Times New Roman" w:eastAsiaTheme="minorEastAsia"/>
          <w:color w:val="000000" w:themeColor="text1"/>
          <w:sz w:val="26"/>
          <w:szCs w:val="26"/>
        </w:rPr>
        <w:t xml:space="preserve">имся в Выписке, считается, что у Поставщика отсутствуют возражения против выводов проверяющих, изложенных в Выписке.</w:t>
      </w:r>
      <w:r>
        <w:rPr>
          <w:color w:val="000000"/>
        </w:rPr>
      </w:r>
      <w:r>
        <w:rPr>
          <w:color w:val="000000"/>
        </w:rPr>
      </w:r>
    </w:p>
    <w:p>
      <w:pPr>
        <w:ind w:firstLine="709"/>
        <w:jc w:val="both"/>
        <w:shd w:val="clear" w:color="auto" w:fill="ffffff"/>
        <w:rPr>
          <w:color w:val="000000"/>
          <w:highlight w:val="none"/>
        </w:rPr>
      </w:pPr>
      <w:r>
        <w:rPr>
          <w:rStyle w:val="1009"/>
          <w:rFonts w:ascii="Times New Roman" w:hAnsi="Times New Roman" w:cs="Times New Roman" w:eastAsiaTheme="minorEastAsia"/>
          <w:color w:val="000000" w:themeColor="text1"/>
          <w:sz w:val="26"/>
          <w:szCs w:val="26"/>
        </w:rPr>
        <w:t xml:space="preserve">12.4.3. Покупатель вправе потребовать с Поставщика возмещения имущественных потерь, связанных с наступлением обстоятельств, указанных в п. </w:t>
      </w:r>
      <w:r>
        <w:rPr>
          <w:rStyle w:val="1009"/>
          <w:rFonts w:ascii="Times New Roman" w:hAnsi="Times New Roman" w:cs="Times New Roman" w:eastAsiaTheme="minorEastAsia"/>
          <w:color w:val="000000" w:themeColor="text1"/>
          <w:sz w:val="26"/>
          <w:szCs w:val="26"/>
        </w:rPr>
        <w:t xml:space="preserve">12.3. Договора, в течение срока действия Договора и в течение трех лет после окончания срока действия Договора.</w:t>
      </w: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numPr>
          <w:ilvl w:val="0"/>
          <w:numId w:val="2"/>
        </w:numPr>
        <w:ind w:left="357" w:hanging="357"/>
        <w:jc w:val="center"/>
        <w:spacing w:before="120" w:after="120"/>
        <w:shd w:val="clear" w:color="auto" w:fill="ffffff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 w:eastAsiaTheme="minorEastAsia"/>
          <w:b/>
          <w:color w:val="000000"/>
          <w:sz w:val="26"/>
          <w:szCs w:val="26"/>
        </w:rPr>
        <w:t xml:space="preserve">Заключительные положения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</w:r>
      <w:r>
        <w:rPr>
          <w:rFonts w:ascii="Times New Roman" w:hAnsi="Times New Roman" w:cs="Times New Roman"/>
          <w:b/>
          <w:color w:val="000000"/>
          <w:sz w:val="26"/>
          <w:szCs w:val="26"/>
        </w:rPr>
      </w:r>
    </w:p>
    <w:p>
      <w:pPr>
        <w:pStyle w:val="972"/>
        <w:numPr>
          <w:ilvl w:val="1"/>
          <w:numId w:val="2"/>
        </w:numPr>
        <w:ind w:left="0" w:firstLine="709"/>
        <w:jc w:val="both"/>
        <w:shd w:val="clear" w:color="auto" w:fill="ffffff"/>
        <w:tabs>
          <w:tab w:val="left" w:pos="720" w:leader="none"/>
        </w:tabs>
        <w:rPr>
          <w:color w:val="000000"/>
          <w:sz w:val="26"/>
          <w:szCs w:val="26"/>
        </w:rPr>
      </w:pPr>
      <w:r>
        <w:rPr>
          <w:rFonts w:eastAsiaTheme="minorEastAsia"/>
          <w:color w:val="000000"/>
          <w:sz w:val="26"/>
          <w:szCs w:val="26"/>
        </w:rPr>
        <w:t xml:space="preserve"> Настоящий договор вступает в силу с момента подписания и действует по 30</w:t>
      </w:r>
      <w:r>
        <w:rPr>
          <w:rFonts w:eastAsiaTheme="minorEastAsia"/>
          <w:color w:val="000000"/>
          <w:sz w:val="26"/>
          <w:szCs w:val="26"/>
        </w:rPr>
        <w:t xml:space="preserve"> ноября</w:t>
      </w:r>
      <w:bookmarkStart w:id="0" w:name="_GoBack"/>
      <w:r/>
      <w:bookmarkEnd w:id="0"/>
      <w:r>
        <w:rPr>
          <w:rFonts w:eastAsiaTheme="minorEastAsia"/>
          <w:color w:val="000000"/>
          <w:sz w:val="26"/>
          <w:szCs w:val="26"/>
        </w:rPr>
        <w:t xml:space="preserve"> 2025 г., а в части взаиморасчетов до их п</w:t>
      </w:r>
      <w:r>
        <w:rPr>
          <w:rFonts w:eastAsiaTheme="minorEastAsia"/>
          <w:color w:val="000000"/>
          <w:sz w:val="26"/>
          <w:szCs w:val="26"/>
        </w:rPr>
        <w:t xml:space="preserve">олного завершения.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pStyle w:val="972"/>
        <w:numPr>
          <w:ilvl w:val="1"/>
          <w:numId w:val="2"/>
        </w:numPr>
        <w:ind w:left="0" w:firstLine="709"/>
        <w:jc w:val="both"/>
        <w:shd w:val="clear" w:color="auto" w:fill="ffffff"/>
        <w:tabs>
          <w:tab w:val="left" w:pos="720" w:leader="none"/>
        </w:tabs>
        <w:rPr>
          <w:color w:val="000000"/>
          <w:sz w:val="26"/>
          <w:szCs w:val="26"/>
        </w:rPr>
      </w:pPr>
      <w:r>
        <w:rPr>
          <w:rFonts w:eastAsiaTheme="minorEastAsia"/>
          <w:color w:val="000000"/>
          <w:sz w:val="26"/>
          <w:szCs w:val="26"/>
        </w:rPr>
        <w:t xml:space="preserve">Вся информация, полученная в ходе реализации настоящего Договора, включая информацию о финансовом положении Сторон, считается конфиденциальной и не подлежит разглашению или передаче третьим лицам, как в период действия настоящего Договор</w:t>
      </w:r>
      <w:r>
        <w:rPr>
          <w:rFonts w:eastAsiaTheme="minorEastAsia"/>
          <w:color w:val="000000"/>
          <w:sz w:val="26"/>
          <w:szCs w:val="26"/>
        </w:rPr>
        <w:t xml:space="preserve">а, так и по окончании его действия в течение 5 (пять) лет.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numPr>
          <w:ilvl w:val="1"/>
          <w:numId w:val="2"/>
        </w:numPr>
        <w:ind w:left="0" w:firstLine="709"/>
        <w:jc w:val="both"/>
        <w:shd w:val="clear" w:color="auto" w:fill="ffffff"/>
        <w:tabs>
          <w:tab w:val="left" w:pos="720" w:leader="none"/>
        </w:tabs>
        <w:rPr>
          <w:color w:val="000000"/>
          <w:sz w:val="26"/>
          <w:szCs w:val="26"/>
        </w:rPr>
      </w:pPr>
      <w:r>
        <w:rPr>
          <w:rFonts w:eastAsiaTheme="minorEastAsia"/>
          <w:color w:val="000000"/>
          <w:sz w:val="26"/>
          <w:szCs w:val="26"/>
        </w:rPr>
        <w:t xml:space="preserve">При изменении реквизитов, Стороны обязуются извещать друг друга о таких изменениях в 5-ти </w:t>
      </w:r>
      <w:r>
        <w:rPr>
          <w:rFonts w:eastAsiaTheme="minorEastAsia"/>
          <w:color w:val="000000"/>
          <w:sz w:val="26"/>
          <w:szCs w:val="26"/>
        </w:rPr>
        <w:t xml:space="preserve">дневный</w:t>
      </w:r>
      <w:r>
        <w:rPr>
          <w:rFonts w:eastAsiaTheme="minorEastAsia"/>
          <w:color w:val="000000"/>
          <w:sz w:val="26"/>
          <w:szCs w:val="26"/>
        </w:rPr>
        <w:t xml:space="preserve"> срок. В противном случае сообщения и расчеты, переданные и произведенные по последнему известному а</w:t>
      </w:r>
      <w:r>
        <w:rPr>
          <w:rFonts w:eastAsiaTheme="minorEastAsia"/>
          <w:color w:val="000000"/>
          <w:sz w:val="26"/>
          <w:szCs w:val="26"/>
        </w:rPr>
        <w:t xml:space="preserve">дресу и реквизитам, считаются переданными и произведенными надлежащим образом.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numPr>
          <w:ilvl w:val="1"/>
          <w:numId w:val="2"/>
        </w:numPr>
        <w:ind w:left="0" w:firstLine="709"/>
        <w:jc w:val="both"/>
        <w:shd w:val="clear" w:color="auto" w:fill="ffffff"/>
        <w:tabs>
          <w:tab w:val="num" w:pos="360" w:leader="none"/>
        </w:tabs>
        <w:rPr>
          <w:color w:val="000000"/>
          <w:sz w:val="26"/>
          <w:szCs w:val="26"/>
        </w:rPr>
      </w:pPr>
      <w:r>
        <w:rPr>
          <w:rFonts w:eastAsiaTheme="minorEastAsia"/>
          <w:color w:val="000000"/>
          <w:sz w:val="26"/>
          <w:szCs w:val="26"/>
        </w:rPr>
        <w:t xml:space="preserve">Документы, переданные средствами факсимильной/электронной связи, имеют юридическую силу, оригиналы указанных документов направляются по почте в течение 5 (пяти) календарных д</w:t>
      </w:r>
      <w:r>
        <w:rPr>
          <w:rFonts w:eastAsiaTheme="minorEastAsia"/>
          <w:color w:val="000000"/>
          <w:sz w:val="26"/>
          <w:szCs w:val="26"/>
        </w:rPr>
        <w:t xml:space="preserve">ней с даты передачи средствами факсимильной/электронной связи.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numPr>
          <w:ilvl w:val="1"/>
          <w:numId w:val="2"/>
        </w:numPr>
        <w:ind w:left="0" w:firstLine="709"/>
        <w:jc w:val="both"/>
        <w:shd w:val="clear" w:color="auto" w:fill="ffffff"/>
        <w:tabs>
          <w:tab w:val="left" w:pos="720" w:leader="none"/>
        </w:tabs>
        <w:rPr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Поставщик не вправе передавать свои права и обязанности по настоящему Договору третьим лицам без письменного согласия Покупателя.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1"/>
          <w:numId w:val="2"/>
        </w:numPr>
        <w:ind w:left="0" w:firstLine="709"/>
        <w:jc w:val="both"/>
        <w:shd w:val="clear" w:color="auto" w:fill="ffffff"/>
        <w:tabs>
          <w:tab w:val="left" w:pos="720" w:leader="none"/>
        </w:tabs>
        <w:rPr>
          <w:sz w:val="26"/>
          <w:szCs w:val="26"/>
        </w:rPr>
      </w:pPr>
      <w:r>
        <w:rPr>
          <w:rFonts w:eastAsiaTheme="minorEastAsia"/>
          <w:bCs/>
          <w:sz w:val="26"/>
          <w:szCs w:val="26"/>
        </w:rPr>
        <w:t xml:space="preserve">Поставщик обязан </w:t>
      </w:r>
      <w:r>
        <w:rPr>
          <w:rFonts w:eastAsiaTheme="minorEastAsia"/>
          <w:sz w:val="26"/>
          <w:szCs w:val="26"/>
        </w:rPr>
        <w:t xml:space="preserve">раскрывать Покупателю</w:t>
      </w:r>
      <w:r>
        <w:rPr>
          <w:rFonts w:eastAsiaTheme="minorEastAsia"/>
          <w:sz w:val="26"/>
          <w:szCs w:val="26"/>
        </w:rPr>
        <w:t xml:space="preserve"> сведения о собственниках (номинальных владельцах) долей/акций/паев Поставщика, по форме, предусмотренной приложением №2 к настоящему Договору, с указанием бенефициаров (в том числе конечного выгодоприобретателя/бенефициара) с предоставлением подтверждающи</w:t>
      </w:r>
      <w:r>
        <w:rPr>
          <w:rFonts w:eastAsiaTheme="minorEastAsia"/>
          <w:sz w:val="26"/>
          <w:szCs w:val="26"/>
        </w:rPr>
        <w:t xml:space="preserve">х документов, в течение 5 (пяти) рабочих дней с момента подписания договора.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1"/>
          <w:numId w:val="2"/>
        </w:numPr>
        <w:ind w:left="0" w:firstLine="709"/>
        <w:jc w:val="both"/>
        <w:shd w:val="clear" w:color="auto" w:fill="ffffff"/>
        <w:tabs>
          <w:tab w:val="left" w:pos="720" w:leader="none"/>
        </w:tabs>
        <w:rPr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В случае любых изменений сведений о собственниках (номинальных владельцах) долей/акций/паев Поставщика, включая бенефициаров (в том числе конечного выгодоприобретателя/бенефициара</w:t>
      </w:r>
      <w:r>
        <w:rPr>
          <w:rFonts w:eastAsiaTheme="minorEastAsia"/>
          <w:sz w:val="26"/>
          <w:szCs w:val="26"/>
        </w:rPr>
        <w:t xml:space="preserve">) Поставщик обязуется в течение 5 (пяти) календарных дней с даты наступления таких изменений предоставить Покупателю актуализированные сведения.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1"/>
          <w:numId w:val="2"/>
        </w:numPr>
        <w:ind w:left="0" w:firstLine="709"/>
        <w:jc w:val="both"/>
        <w:shd w:val="clear" w:color="auto" w:fill="ffffff"/>
        <w:tabs>
          <w:tab w:val="left" w:pos="720" w:leader="none"/>
        </w:tabs>
        <w:rPr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При раскрытии соответствующей информации Стороны обязуются производить обработку персональных данных в соответс</w:t>
      </w:r>
      <w:r>
        <w:rPr>
          <w:rFonts w:eastAsiaTheme="minorEastAsia"/>
          <w:sz w:val="26"/>
          <w:szCs w:val="26"/>
        </w:rPr>
        <w:t xml:space="preserve">твии с Федеральным законом №152-ФЗ от 27.07.2006 «О персональных данных».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1"/>
          <w:numId w:val="2"/>
        </w:numPr>
        <w:ind w:left="0" w:firstLine="709"/>
        <w:jc w:val="both"/>
        <w:shd w:val="clear" w:color="auto" w:fill="ffffff"/>
        <w:tabs>
          <w:tab w:val="left" w:pos="720" w:leader="none"/>
        </w:tabs>
        <w:rPr>
          <w:color w:val="000000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Положения настоящего пункта Стороны признают существенным условием Договора. В случае невыполнения или ненадлежащего выполнения Поставщиком обязательств, предусмотренных настоящим ра</w:t>
      </w:r>
      <w:r>
        <w:rPr>
          <w:rFonts w:eastAsiaTheme="minorEastAsia"/>
          <w:sz w:val="26"/>
          <w:szCs w:val="26"/>
        </w:rPr>
        <w:t xml:space="preserve">зделом, Покупатель вправе в одностороннем внесудебном порядке расторгнуть Договор.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numPr>
          <w:ilvl w:val="1"/>
          <w:numId w:val="2"/>
        </w:numPr>
        <w:ind w:left="0" w:firstLine="709"/>
        <w:jc w:val="both"/>
        <w:shd w:val="clear" w:color="auto" w:fill="ffffff"/>
        <w:tabs>
          <w:tab w:val="left" w:pos="720" w:leader="none"/>
        </w:tabs>
        <w:rPr>
          <w:color w:val="000000"/>
          <w:sz w:val="26"/>
          <w:szCs w:val="26"/>
        </w:rPr>
      </w:pPr>
      <w:r>
        <w:rPr>
          <w:rFonts w:eastAsiaTheme="minorEastAsia"/>
          <w:bCs/>
          <w:sz w:val="26"/>
          <w:szCs w:val="26"/>
        </w:rPr>
        <w:t xml:space="preserve">Настоящий Договор выражает все договорные условия и понимание между Сторонами в отношении всех упомянутых здесь вопросов, при этом все предыдущие обсуждения, обещания, согла</w:t>
      </w:r>
      <w:r>
        <w:rPr>
          <w:rFonts w:eastAsiaTheme="minorEastAsia"/>
          <w:bCs/>
          <w:sz w:val="26"/>
          <w:szCs w:val="26"/>
        </w:rPr>
        <w:t xml:space="preserve">сования и представления между Сторонами, если таковые имелись, кроме упомянутых в тексте настоящего Договора, теряют силу и заменяются вышеизложенным текстом.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numPr>
          <w:ilvl w:val="1"/>
          <w:numId w:val="2"/>
        </w:numPr>
        <w:ind w:left="0" w:firstLine="709"/>
        <w:jc w:val="both"/>
        <w:shd w:val="clear" w:color="auto" w:fill="ffffff"/>
        <w:tabs>
          <w:tab w:val="left" w:pos="720" w:leader="none"/>
        </w:tabs>
        <w:rPr>
          <w:color w:val="000000"/>
          <w:sz w:val="26"/>
          <w:szCs w:val="26"/>
        </w:rPr>
      </w:pPr>
      <w:r>
        <w:rPr>
          <w:rFonts w:eastAsiaTheme="minorEastAsia"/>
          <w:color w:val="000000"/>
          <w:sz w:val="26"/>
          <w:szCs w:val="26"/>
        </w:rPr>
        <w:t xml:space="preserve">Все изменения и дополнения к настоящему Договору должны быть совершены в письменной форме в виде </w:t>
      </w:r>
      <w:r>
        <w:rPr>
          <w:rFonts w:eastAsiaTheme="minorEastAsia"/>
          <w:color w:val="000000"/>
          <w:sz w:val="26"/>
          <w:szCs w:val="26"/>
        </w:rPr>
        <w:t xml:space="preserve">единого документа и вступают в силу после подписания обеими Сторонами.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numPr>
          <w:ilvl w:val="1"/>
          <w:numId w:val="2"/>
        </w:numPr>
        <w:ind w:left="0" w:firstLine="709"/>
        <w:jc w:val="both"/>
        <w:shd w:val="clear" w:color="auto" w:fill="ffffff"/>
        <w:tabs>
          <w:tab w:val="left" w:pos="720" w:leader="none"/>
        </w:tabs>
        <w:rPr>
          <w:color w:val="000000"/>
          <w:sz w:val="26"/>
          <w:szCs w:val="26"/>
        </w:rPr>
      </w:pPr>
      <w:r>
        <w:rPr>
          <w:rFonts w:eastAsiaTheme="minorEastAsia"/>
          <w:color w:val="000000"/>
          <w:sz w:val="26"/>
          <w:szCs w:val="26"/>
        </w:rPr>
        <w:t xml:space="preserve">В части, не урегулированной настоящим Договором, отношения Сторон регламентируются действующим законодательством Российской Федерации.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numPr>
          <w:ilvl w:val="1"/>
          <w:numId w:val="2"/>
        </w:numPr>
        <w:ind w:left="0" w:firstLine="709"/>
        <w:jc w:val="both"/>
        <w:shd w:val="clear" w:color="auto" w:fill="ffffff"/>
        <w:tabs>
          <w:tab w:val="left" w:pos="720" w:leader="none"/>
        </w:tabs>
        <w:rPr>
          <w:color w:val="000000"/>
          <w:sz w:val="26"/>
          <w:szCs w:val="26"/>
        </w:rPr>
      </w:pPr>
      <w:r>
        <w:rPr>
          <w:rFonts w:eastAsiaTheme="minorEastAsia"/>
          <w:bCs/>
          <w:sz w:val="26"/>
          <w:szCs w:val="26"/>
        </w:rPr>
        <w:t xml:space="preserve">Договор составлен в 2 (двух) подлинных экземплярах</w:t>
      </w:r>
      <w:r>
        <w:rPr>
          <w:rFonts w:eastAsiaTheme="minorEastAsia"/>
          <w:bCs/>
          <w:sz w:val="26"/>
          <w:szCs w:val="26"/>
        </w:rPr>
        <w:t xml:space="preserve">, по одному для каждой из Сторон. Оба экземпляра имеют равную юридическую силу.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numPr>
          <w:ilvl w:val="0"/>
          <w:numId w:val="2"/>
        </w:numPr>
        <w:ind w:left="357" w:hanging="357"/>
        <w:jc w:val="center"/>
        <w:spacing w:before="120" w:after="120"/>
        <w:shd w:val="clear" w:color="auto" w:fill="ffffff"/>
        <w:rPr>
          <w:b/>
          <w:color w:val="000000"/>
          <w:sz w:val="26"/>
          <w:szCs w:val="26"/>
        </w:rPr>
      </w:pPr>
      <w:r>
        <w:rPr>
          <w:rFonts w:eastAsiaTheme="minorEastAsia"/>
          <w:b/>
          <w:color w:val="000000"/>
          <w:sz w:val="26"/>
          <w:szCs w:val="26"/>
        </w:rPr>
        <w:t xml:space="preserve">Приложения к настоящему Договору</w:t>
      </w:r>
      <w:r>
        <w:rPr>
          <w:b/>
          <w:color w:val="000000"/>
          <w:sz w:val="26"/>
          <w:szCs w:val="26"/>
        </w:rPr>
      </w:r>
      <w:r>
        <w:rPr>
          <w:b/>
          <w:color w:val="000000"/>
          <w:sz w:val="26"/>
          <w:szCs w:val="26"/>
        </w:rPr>
      </w:r>
    </w:p>
    <w:p>
      <w:pPr>
        <w:ind w:firstLine="709"/>
        <w:jc w:val="left"/>
        <w:rPr>
          <w:bCs/>
          <w:sz w:val="26"/>
          <w:szCs w:val="26"/>
        </w:rPr>
      </w:pPr>
      <w:r>
        <w:rPr>
          <w:rFonts w:eastAsiaTheme="minorEastAsia"/>
          <w:bCs/>
          <w:sz w:val="26"/>
          <w:szCs w:val="26"/>
        </w:rPr>
        <w:t xml:space="preserve">14.1. Приложение №1 – Спецификация;</w:t>
      </w:r>
      <w:r>
        <w:rPr>
          <w:bCs/>
          <w:sz w:val="26"/>
          <w:szCs w:val="26"/>
        </w:rPr>
      </w:r>
      <w:r>
        <w:rPr>
          <w:bCs/>
          <w:sz w:val="26"/>
          <w:szCs w:val="26"/>
        </w:rPr>
      </w:r>
    </w:p>
    <w:p>
      <w:pPr>
        <w:ind w:firstLine="709"/>
        <w:jc w:val="both"/>
        <w:rPr>
          <w:bCs/>
          <w:sz w:val="26"/>
          <w:szCs w:val="26"/>
        </w:rPr>
      </w:pPr>
      <w:r>
        <w:rPr>
          <w:rFonts w:eastAsiaTheme="minorEastAsia"/>
          <w:bCs/>
          <w:sz w:val="26"/>
          <w:szCs w:val="26"/>
        </w:rPr>
        <w:t xml:space="preserve">14.2. Приложение №2 – Форма по раскрытию информации в отношении всей цепочки собственников, включая бенефиц</w:t>
      </w:r>
      <w:r>
        <w:rPr>
          <w:rFonts w:eastAsiaTheme="minorEastAsia"/>
          <w:bCs/>
          <w:sz w:val="26"/>
          <w:szCs w:val="26"/>
        </w:rPr>
        <w:t xml:space="preserve">иаров (в том числе, конечных);</w:t>
      </w:r>
      <w:r>
        <w:rPr>
          <w:bCs/>
          <w:sz w:val="26"/>
          <w:szCs w:val="26"/>
        </w:rPr>
      </w:r>
      <w:r>
        <w:rPr>
          <w:bCs/>
          <w:sz w:val="26"/>
          <w:szCs w:val="26"/>
        </w:rPr>
      </w:r>
    </w:p>
    <w:p>
      <w:pPr>
        <w:ind w:firstLine="709"/>
        <w:jc w:val="both"/>
        <w:rPr>
          <w:bCs/>
          <w:sz w:val="26"/>
          <w:szCs w:val="26"/>
        </w:rPr>
      </w:pPr>
      <w:r>
        <w:rPr>
          <w:rFonts w:eastAsiaTheme="minorEastAsia"/>
          <w:bCs/>
          <w:sz w:val="26"/>
          <w:szCs w:val="26"/>
        </w:rPr>
        <w:t xml:space="preserve">14.3. Приложение №3 – Форма согласия на обработку персональных данных.</w:t>
      </w:r>
      <w:r>
        <w:rPr>
          <w:bCs/>
          <w:sz w:val="26"/>
          <w:szCs w:val="26"/>
        </w:rPr>
      </w:r>
      <w:r>
        <w:rPr>
          <w:bCs/>
          <w:sz w:val="26"/>
          <w:szCs w:val="26"/>
        </w:rPr>
      </w:r>
    </w:p>
    <w:p>
      <w:pPr>
        <w:pStyle w:val="954"/>
        <w:ind w:firstLine="709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 w:eastAsiaTheme="minorEastAsia"/>
          <w:color w:val="000000"/>
          <w:sz w:val="26"/>
          <w:szCs w:val="26"/>
        </w:rPr>
        <w:t xml:space="preserve">Все приложения к настоящему Договору являются его неотъемлемой частью</w:t>
      </w:r>
      <w:r>
        <w:rPr>
          <w:rFonts w:ascii="Times New Roman" w:hAnsi="Times New Roman" w:cs="Times New Roman" w:eastAsiaTheme="minorEastAsia"/>
          <w:color w:val="000000"/>
          <w:sz w:val="26"/>
          <w:szCs w:val="26"/>
        </w:rPr>
        <w:t xml:space="preserve">.</w:t>
      </w:r>
      <w:r>
        <w:rPr>
          <w:rFonts w:ascii="Times New Roman" w:hAnsi="Times New Roman" w:cs="Times New Roman"/>
          <w:color w:val="000000"/>
          <w:sz w:val="26"/>
          <w:szCs w:val="26"/>
        </w:rPr>
      </w:r>
      <w:r>
        <w:rPr>
          <w:rFonts w:ascii="Times New Roman" w:hAnsi="Times New Roman" w:cs="Times New Roman"/>
          <w:color w:val="000000"/>
          <w:sz w:val="26"/>
          <w:szCs w:val="26"/>
        </w:rPr>
      </w:r>
    </w:p>
    <w:p>
      <w:pPr>
        <w:numPr>
          <w:ilvl w:val="0"/>
          <w:numId w:val="2"/>
        </w:numPr>
        <w:ind w:left="357" w:hanging="357"/>
        <w:jc w:val="center"/>
        <w:spacing w:before="120" w:after="120"/>
        <w:shd w:val="clear" w:color="auto" w:fill="ffffff"/>
        <w:rPr>
          <w:b/>
          <w:color w:val="000000"/>
          <w:sz w:val="26"/>
          <w:szCs w:val="26"/>
        </w:rPr>
      </w:pPr>
      <w:r>
        <w:rPr>
          <w:rFonts w:eastAsiaTheme="minorEastAsia"/>
          <w:b/>
          <w:color w:val="000000"/>
          <w:sz w:val="26"/>
          <w:szCs w:val="26"/>
        </w:rPr>
        <w:t xml:space="preserve">Адреса и реквизиты Сторон</w:t>
      </w:r>
      <w:r>
        <w:rPr>
          <w:b/>
          <w:color w:val="000000"/>
          <w:sz w:val="26"/>
          <w:szCs w:val="26"/>
        </w:rPr>
      </w:r>
      <w:r>
        <w:rPr>
          <w:b/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tbl>
      <w:tblPr>
        <w:tblpPr w:horzAnchor="text" w:tblpXSpec="left" w:vertAnchor="text" w:tblpY="90" w:leftFromText="180" w:topFromText="0" w:rightFromText="180" w:bottomFromText="0"/>
        <w:tblW w:w="10030" w:type="dxa"/>
        <w:tblLayout w:type="fixed"/>
        <w:tblLook w:val="0000" w:firstRow="0" w:lastRow="0" w:firstColumn="0" w:lastColumn="0" w:noHBand="0" w:noVBand="0"/>
      </w:tblPr>
      <w:tblGrid>
        <w:gridCol w:w="4785"/>
        <w:gridCol w:w="5245"/>
      </w:tblGrid>
      <w:tr>
        <w:tblPrEx/>
        <w:trPr>
          <w:trHeight w:val="273"/>
        </w:trPr>
        <w:tc>
          <w:tcPr>
            <w:tcW w:w="4785" w:type="dxa"/>
            <w:textDirection w:val="lrTb"/>
            <w:noWrap w:val="false"/>
          </w:tcPr>
          <w:p>
            <w:pPr>
              <w:pStyle w:val="961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Поставщик:</w:t>
            </w:r>
            <w:r>
              <w:rPr>
                <w:b/>
                <w:bCs/>
                <w:color w:val="000000"/>
                <w:sz w:val="26"/>
                <w:szCs w:val="26"/>
              </w:rPr>
            </w:r>
            <w:r>
              <w:rPr>
                <w:b/>
                <w:bCs/>
                <w:color w:val="000000"/>
                <w:sz w:val="26"/>
                <w:szCs w:val="26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pStyle w:val="961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Покупатель:</w:t>
            </w:r>
            <w:r>
              <w:rPr>
                <w:b/>
                <w:bCs/>
                <w:color w:val="000000"/>
                <w:sz w:val="26"/>
                <w:szCs w:val="26"/>
              </w:rPr>
            </w:r>
            <w:r>
              <w:rPr>
                <w:b/>
                <w:bCs/>
                <w:color w:val="000000"/>
                <w:sz w:val="26"/>
                <w:szCs w:val="26"/>
              </w:rPr>
            </w:r>
          </w:p>
        </w:tc>
      </w:tr>
      <w:tr>
        <w:tblPrEx/>
        <w:trPr>
          <w:trHeight w:val="2719"/>
        </w:trPr>
        <w:tc>
          <w:tcPr>
            <w:tcW w:w="4785" w:type="dxa"/>
            <w:textDirection w:val="lrTb"/>
            <w:noWrap w:val="false"/>
          </w:tcPr>
          <w:p>
            <w:pPr>
              <w:contextualSpacing/>
              <w:widowControl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</w:r>
            <w:r>
              <w:rPr>
                <w:rFonts w:eastAsia="Calibri"/>
                <w:sz w:val="26"/>
                <w:szCs w:val="26"/>
                <w:lang w:eastAsia="en-US"/>
              </w:rPr>
            </w:r>
            <w:r>
              <w:rPr>
                <w:rFonts w:eastAsia="Calibri"/>
                <w:sz w:val="26"/>
                <w:szCs w:val="26"/>
                <w:lang w:eastAsia="en-US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 xml:space="preserve">АО «Томскэнергосбыт»</w:t>
            </w:r>
            <w:r>
              <w:rPr>
                <w:b/>
                <w:bCs/>
                <w:iCs/>
                <w:sz w:val="26"/>
                <w:szCs w:val="26"/>
              </w:rPr>
            </w:r>
            <w:r>
              <w:rPr>
                <w:b/>
                <w:bCs/>
                <w:iCs/>
                <w:sz w:val="26"/>
                <w:szCs w:val="26"/>
              </w:rPr>
            </w:r>
          </w:p>
          <w:p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Юр. адрес: 634034, Россия, Томская обл., 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г. Томск, ул. Котовского, д. 19 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Почт. адрес: Котовского ул., д. 19, 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г. Томск, Томская обл., Россия, 634034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ИНН 7017114680 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КПП 785150001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Р/</w:t>
            </w:r>
            <w:r>
              <w:rPr>
                <w:sz w:val="26"/>
                <w:szCs w:val="26"/>
              </w:rPr>
              <w:t xml:space="preserve">сч</w:t>
            </w:r>
            <w:r>
              <w:rPr>
                <w:sz w:val="26"/>
                <w:szCs w:val="26"/>
              </w:rPr>
              <w:t xml:space="preserve"> 40702810900000021656 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 Банке ГПБ (АО) г. Москва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БИК 044525823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К/</w:t>
            </w:r>
            <w:r>
              <w:rPr>
                <w:sz w:val="26"/>
                <w:szCs w:val="26"/>
              </w:rPr>
              <w:t xml:space="preserve">сч</w:t>
            </w:r>
            <w:r>
              <w:rPr>
                <w:sz w:val="26"/>
                <w:szCs w:val="26"/>
              </w:rPr>
              <w:t xml:space="preserve"> 30101810200000000823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тел. (3822) 48-47-00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факс (3822) 48-47-77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эл. почта: </w:t>
            </w:r>
            <w:hyperlink r:id="rId13" w:tooltip="mailto:secretar@ensb.tomsk.ru" w:history="1">
              <w:r>
                <w:rPr>
                  <w:rStyle w:val="981"/>
                  <w:color w:val="auto"/>
                  <w:sz w:val="26"/>
                  <w:szCs w:val="26"/>
                  <w:u w:val="none"/>
                </w:rPr>
                <w:t xml:space="preserve">secretar@</w:t>
              </w:r>
              <w:r>
                <w:rPr>
                  <w:sz w:val="26"/>
                </w:rPr>
                <w:t xml:space="preserve">tomskenergosbyt</w:t>
              </w:r>
              <w:r>
                <w:rPr>
                  <w:rStyle w:val="981"/>
                  <w:color w:val="auto"/>
                  <w:sz w:val="26"/>
                  <w:szCs w:val="26"/>
                  <w:u w:val="none"/>
                </w:rPr>
                <w:t xml:space="preserve">.ru</w:t>
              </w:r>
            </w:hyperlink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both"/>
              <w:widowControl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</w:p>
        </w:tc>
      </w:tr>
      <w:tr>
        <w:tblPrEx/>
        <w:trPr>
          <w:trHeight w:val="624"/>
        </w:trPr>
        <w:tc>
          <w:tcPr>
            <w:tcW w:w="4785" w:type="dxa"/>
            <w:textDirection w:val="lrTb"/>
            <w:noWrap w:val="false"/>
          </w:tcPr>
          <w:p>
            <w:pPr>
              <w:contextualSpacing/>
              <w:widowControl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  <w:p>
            <w:pPr>
              <w:contextualSpacing/>
              <w:widowControl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_____________________ ____________</w: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  <w:p>
            <w:pPr>
              <w:widowControl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МП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contextualSpacing/>
              <w:widowControl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  <w:p>
            <w:pPr>
              <w:contextualSpacing/>
              <w:widowControl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_____________________ ____________</w: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  <w:p>
            <w:pPr>
              <w:widowControl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МП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p>
      <w:pPr>
        <w:rPr>
          <w:color w:val="000000"/>
          <w:sz w:val="26"/>
          <w:szCs w:val="26"/>
        </w:rPr>
        <w:sectPr>
          <w:headerReference w:type="default" r:id="rId9"/>
          <w:footerReference w:type="default" r:id="rId10"/>
          <w:footerReference w:type="even" r:id="rId11"/>
          <w:footnotePr/>
          <w:endnotePr/>
          <w:type w:val="nextPage"/>
          <w:pgSz w:w="11901" w:h="16840" w:orient="portrait"/>
          <w:pgMar w:top="1134" w:right="709" w:bottom="1134" w:left="1418" w:header="709" w:footer="709" w:gutter="0"/>
          <w:cols w:num="1" w:sep="0" w:space="708" w:equalWidth="1"/>
          <w:docGrid w:linePitch="360"/>
          <w:titlePg/>
        </w:sectPr>
      </w:pP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ind w:left="5664" w:firstLine="708"/>
        <w:rPr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Приложение № 1</w:t>
      </w:r>
      <w:r>
        <w:rPr>
          <w:rFonts w:eastAsiaTheme="minorEastAsia"/>
          <w:sz w:val="24"/>
          <w:szCs w:val="24"/>
        </w:rPr>
        <w:t xml:space="preserve"> к Договору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6521"/>
        <w:rPr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от 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6521"/>
        <w:rPr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№ 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8"/>
        <w:jc w:val="center"/>
        <w:rPr>
          <w:b/>
          <w:smallCaps/>
          <w:sz w:val="24"/>
          <w:szCs w:val="24"/>
        </w:rPr>
      </w:pPr>
      <w:r>
        <w:rPr>
          <w:b/>
          <w:smallCaps/>
          <w:sz w:val="24"/>
          <w:szCs w:val="24"/>
        </w:rPr>
      </w:r>
      <w:r>
        <w:rPr>
          <w:b/>
          <w:smallCaps/>
          <w:sz w:val="24"/>
          <w:szCs w:val="24"/>
        </w:rPr>
      </w:r>
      <w:r>
        <w:rPr>
          <w:b/>
          <w:smallCaps/>
          <w:sz w:val="24"/>
          <w:szCs w:val="24"/>
        </w:rPr>
      </w:r>
    </w:p>
    <w:p>
      <w:pPr>
        <w:pStyle w:val="978"/>
        <w:jc w:val="center"/>
        <w:rPr>
          <w:b/>
          <w:smallCaps/>
          <w:sz w:val="24"/>
        </w:rPr>
      </w:pPr>
      <w:r>
        <w:rPr>
          <w:rFonts w:eastAsiaTheme="minorEastAsia"/>
          <w:b/>
          <w:smallCaps/>
          <w:sz w:val="24"/>
          <w:szCs w:val="24"/>
        </w:rPr>
        <w:t xml:space="preserve">Спецификация</w:t>
      </w:r>
      <w:r>
        <w:rPr>
          <w:b/>
          <w:smallCaps/>
          <w:sz w:val="24"/>
        </w:rPr>
      </w:r>
      <w:r>
        <w:rPr>
          <w:b/>
          <w:smallCaps/>
          <w:sz w:val="24"/>
        </w:rPr>
      </w:r>
    </w:p>
    <w:p>
      <w:pPr>
        <w:pStyle w:val="978"/>
        <w:jc w:val="center"/>
      </w:pPr>
      <w:r/>
      <w:r/>
    </w:p>
    <w:tbl>
      <w:tblPr>
        <w:tblW w:w="9824" w:type="dxa"/>
        <w:tblLayout w:type="fixed"/>
        <w:tblLook w:val="04A0" w:firstRow="1" w:lastRow="0" w:firstColumn="1" w:lastColumn="0" w:noHBand="0" w:noVBand="1"/>
      </w:tblPr>
      <w:tblGrid>
        <w:gridCol w:w="560"/>
        <w:gridCol w:w="3119"/>
        <w:gridCol w:w="1121"/>
        <w:gridCol w:w="903"/>
        <w:gridCol w:w="910"/>
        <w:gridCol w:w="925"/>
        <w:gridCol w:w="876"/>
        <w:gridCol w:w="1410"/>
      </w:tblGrid>
      <w:tr>
        <w:tblPrEx/>
        <w:trPr>
          <w:trHeight w:val="126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0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 xml:space="preserve">№ п/п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19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 xml:space="preserve">Наименование Товара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21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 xml:space="preserve">Страна </w:t>
            </w:r>
            <w:r>
              <w:rPr>
                <w:color w:val="000000"/>
                <w:sz w:val="24"/>
                <w:szCs w:val="24"/>
              </w:rPr>
              <w:t xml:space="preserve">произво-дитель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03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 xml:space="preserve">Ед. изм.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10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 xml:space="preserve">Кол-во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25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 xml:space="preserve"> Цена без НДС, в руб. 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76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 xml:space="preserve"> Цена с НДС, в руб. 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0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 xml:space="preserve">  Сумма с НДС, в руб.  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315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0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 xml:space="preserve">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19" w:type="dxa"/>
            <w:vAlign w:val="center"/>
            <w:textDirection w:val="lrTb"/>
            <w:noWrap/>
          </w:tcPr>
          <w:p>
            <w:pPr>
              <w:widowControl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21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03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10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25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76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0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315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0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 xml:space="preserve">...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19" w:type="dxa"/>
            <w:vAlign w:val="center"/>
            <w:textDirection w:val="lrTb"/>
            <w:noWrap/>
          </w:tcPr>
          <w:p>
            <w:pPr>
              <w:widowControl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21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03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10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25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76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0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315"/>
        </w:trPr>
        <w:tc>
          <w:tcPr>
            <w:gridSpan w:val="7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14" w:type="dxa"/>
            <w:vAlign w:val="center"/>
            <w:textDirection w:val="lrTb"/>
            <w:noWrap w:val="false"/>
          </w:tcPr>
          <w:p>
            <w:pPr>
              <w:jc w:val="right"/>
              <w:widowControl/>
              <w:rPr>
                <w:color w:val="000000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Итого с НДС, руб.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0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315"/>
        </w:trPr>
        <w:tc>
          <w:tcPr>
            <w:gridSpan w:val="7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14" w:type="dxa"/>
            <w:vAlign w:val="center"/>
            <w:textDirection w:val="lrTb"/>
            <w:noWrap w:val="false"/>
          </w:tcPr>
          <w:p>
            <w:pPr>
              <w:jc w:val="right"/>
              <w:widowControl/>
              <w:rPr>
                <w:color w:val="000000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В том числе НДС-20%, руб.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0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</w:tbl>
    <w:p>
      <w:pPr>
        <w:pStyle w:val="978"/>
        <w:jc w:val="center"/>
        <w:rPr>
          <w:b/>
          <w:smallCaps/>
          <w:sz w:val="24"/>
          <w:szCs w:val="24"/>
        </w:rPr>
      </w:pPr>
      <w:r>
        <w:rPr>
          <w:b/>
          <w:smallCaps/>
          <w:sz w:val="24"/>
          <w:szCs w:val="24"/>
        </w:rPr>
      </w:r>
      <w:r>
        <w:rPr>
          <w:b/>
          <w:smallCaps/>
          <w:sz w:val="24"/>
          <w:szCs w:val="24"/>
        </w:rPr>
      </w:r>
      <w:r>
        <w:rPr>
          <w:b/>
          <w:smallCaps/>
          <w:sz w:val="24"/>
          <w:szCs w:val="24"/>
        </w:rPr>
      </w:r>
    </w:p>
    <w:p>
      <w:pPr>
        <w:pStyle w:val="978"/>
        <w:jc w:val="center"/>
        <w:rPr>
          <w:b/>
          <w:smallCaps/>
          <w:sz w:val="24"/>
          <w:szCs w:val="24"/>
        </w:rPr>
      </w:pPr>
      <w:r>
        <w:rPr>
          <w:b/>
          <w:smallCaps/>
          <w:sz w:val="24"/>
          <w:szCs w:val="24"/>
        </w:rPr>
      </w:r>
      <w:r>
        <w:rPr>
          <w:b/>
          <w:smallCaps/>
          <w:sz w:val="24"/>
          <w:szCs w:val="24"/>
        </w:rPr>
      </w:r>
      <w:r>
        <w:rPr>
          <w:b/>
          <w:smallCaps/>
          <w:sz w:val="24"/>
          <w:szCs w:val="24"/>
        </w:rPr>
      </w:r>
    </w:p>
    <w:p>
      <w:pPr>
        <w:pStyle w:val="96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tbl>
      <w:tblPr>
        <w:tblpPr w:horzAnchor="margin" w:tblpXSpec="left" w:vertAnchor="text" w:tblpY="640" w:leftFromText="180" w:topFromText="0" w:rightFromText="180" w:bottomFromText="0"/>
        <w:tblW w:w="4720" w:type="pct"/>
        <w:tblLook w:val="01E0" w:firstRow="1" w:lastRow="1" w:firstColumn="1" w:lastColumn="1" w:noHBand="0" w:noVBand="0"/>
      </w:tblPr>
      <w:tblGrid>
        <w:gridCol w:w="4814"/>
        <w:gridCol w:w="4815"/>
      </w:tblGrid>
      <w:tr>
        <w:tblPrEx/>
        <w:trPr>
          <w:trHeight w:val="2179"/>
        </w:trPr>
        <w:tc>
          <w:tcPr>
            <w:tcW w:w="2500" w:type="pct"/>
            <w:textDirection w:val="lrTb"/>
            <w:noWrap w:val="false"/>
          </w:tcPr>
          <w:p>
            <w:pPr>
              <w:pStyle w:val="961"/>
              <w:rPr>
                <w:color w:val="000000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Поставщик: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  <w:p>
            <w:pPr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  <w:p>
            <w:pPr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  <w:p>
            <w:pPr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___________________ __________</w: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  <w:p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МП</w: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  <w:p>
            <w:pPr>
              <w:jc w:val="right"/>
              <w:rPr>
                <w:b/>
                <w:smallCap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     </w:t>
            </w:r>
            <w:r>
              <w:rPr>
                <w:b/>
                <w:smallCaps/>
                <w:sz w:val="26"/>
                <w:szCs w:val="26"/>
              </w:rPr>
            </w:r>
            <w:r>
              <w:rPr>
                <w:b/>
                <w:smallCaps/>
                <w:sz w:val="26"/>
                <w:szCs w:val="26"/>
              </w:rPr>
            </w:r>
          </w:p>
        </w:tc>
        <w:tc>
          <w:tcPr>
            <w:tcW w:w="2500" w:type="pct"/>
            <w:textDirection w:val="lrTb"/>
            <w:noWrap w:val="false"/>
          </w:tcPr>
          <w:p>
            <w:pPr>
              <w:pStyle w:val="961"/>
              <w:rPr>
                <w:color w:val="000000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Покупатель: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contextualSpacing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bCs/>
                <w:sz w:val="26"/>
                <w:szCs w:val="26"/>
              </w:rPr>
            </w:r>
            <w:r>
              <w:rPr>
                <w:b/>
                <w:bCs/>
                <w:sz w:val="26"/>
                <w:szCs w:val="26"/>
              </w:rPr>
            </w:r>
          </w:p>
          <w:p>
            <w:pPr>
              <w:contextualSpacing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bCs/>
                <w:sz w:val="26"/>
                <w:szCs w:val="26"/>
              </w:rPr>
            </w:r>
            <w:r>
              <w:rPr>
                <w:b/>
                <w:bCs/>
                <w:sz w:val="26"/>
                <w:szCs w:val="26"/>
              </w:rPr>
            </w:r>
          </w:p>
          <w:p>
            <w:pPr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  <w:p>
            <w:pPr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___________________ __________</w: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  <w:p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МП</w: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</w:tr>
    </w:tbl>
    <w:p>
      <w:pPr>
        <w:pStyle w:val="961"/>
        <w:rPr>
          <w:color w:val="000000"/>
          <w:sz w:val="26"/>
          <w:szCs w:val="26"/>
        </w:rPr>
        <w:sectPr>
          <w:footnotePr/>
          <w:endnotePr/>
          <w:type w:val="nextPage"/>
          <w:pgSz w:w="11901" w:h="16840" w:orient="portrait"/>
          <w:pgMar w:top="709" w:right="567" w:bottom="568" w:left="1134" w:header="709" w:footer="709" w:gutter="0"/>
          <w:cols w:num="1" w:sep="0" w:space="708" w:equalWidth="1"/>
          <w:docGrid w:linePitch="360"/>
          <w:titlePg/>
        </w:sectPr>
      </w:pP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ind w:left="11482"/>
        <w:rPr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Приложение № 2 к Договору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1482"/>
        <w:rPr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от 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1482"/>
        <w:rPr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№ ___________</w:t>
      </w:r>
      <w:r>
        <w:rPr>
          <w:rFonts w:eastAsiaTheme="minorEastAsia"/>
          <w:sz w:val="24"/>
          <w:szCs w:val="24"/>
        </w:rPr>
        <w:t xml:space="preserve">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before="120"/>
        <w:widowControl/>
        <w:tabs>
          <w:tab w:val="center" w:pos="4677" w:leader="none"/>
          <w:tab w:val="right" w:pos="9355" w:leader="none"/>
        </w:tabs>
        <w:rPr>
          <w:b/>
          <w:sz w:val="24"/>
          <w:szCs w:val="24"/>
          <w:lang w:eastAsia="en-US"/>
        </w:rPr>
      </w:pPr>
      <w:r>
        <w:rPr>
          <w:rFonts w:eastAsiaTheme="minorEastAsia"/>
          <w:b/>
          <w:sz w:val="24"/>
          <w:szCs w:val="24"/>
          <w:lang w:eastAsia="en-US"/>
        </w:rPr>
        <w:t xml:space="preserve">Форма по раскрытию информации в отношении всей цепочки собственников,</w:t>
      </w:r>
      <w:r>
        <w:rPr>
          <w:b/>
          <w:sz w:val="24"/>
          <w:szCs w:val="24"/>
          <w:lang w:eastAsia="en-US"/>
        </w:rPr>
      </w:r>
      <w:r>
        <w:rPr>
          <w:b/>
          <w:sz w:val="24"/>
          <w:szCs w:val="24"/>
          <w:lang w:eastAsia="en-US"/>
        </w:rPr>
      </w:r>
    </w:p>
    <w:p>
      <w:pPr>
        <w:jc w:val="center"/>
        <w:spacing w:before="120"/>
        <w:widowControl/>
        <w:tabs>
          <w:tab w:val="center" w:pos="4677" w:leader="none"/>
          <w:tab w:val="right" w:pos="9355" w:leader="none"/>
        </w:tabs>
        <w:rPr>
          <w:b/>
          <w:sz w:val="24"/>
          <w:szCs w:val="24"/>
          <w:lang w:eastAsia="en-US"/>
        </w:rPr>
      </w:pPr>
      <w:r>
        <w:rPr>
          <w:rFonts w:eastAsiaTheme="minorEastAsia"/>
          <w:b/>
          <w:sz w:val="24"/>
          <w:szCs w:val="24"/>
          <w:lang w:eastAsia="en-US"/>
        </w:rPr>
        <w:t xml:space="preserve">включая бенефициаров (в том числе, конечных)</w:t>
      </w:r>
      <w:r>
        <w:rPr>
          <w:b/>
          <w:sz w:val="24"/>
          <w:szCs w:val="24"/>
          <w:lang w:eastAsia="en-US"/>
        </w:rPr>
      </w:r>
      <w:r>
        <w:rPr>
          <w:b/>
          <w:sz w:val="24"/>
          <w:szCs w:val="24"/>
          <w:lang w:eastAsia="en-US"/>
        </w:rPr>
      </w:r>
    </w:p>
    <w:p>
      <w:pPr>
        <w:jc w:val="center"/>
        <w:spacing w:before="120"/>
        <w:widowControl/>
        <w:tabs>
          <w:tab w:val="center" w:pos="4677" w:leader="none"/>
          <w:tab w:val="right" w:pos="9355" w:leader="none"/>
        </w:tabs>
        <w:rPr>
          <w:i/>
          <w:sz w:val="24"/>
          <w:szCs w:val="24"/>
          <w:lang w:eastAsia="en-US"/>
        </w:rPr>
      </w:pPr>
      <w:r>
        <w:rPr>
          <w:rFonts w:eastAsiaTheme="minorEastAsia"/>
          <w:i/>
          <w:sz w:val="24"/>
          <w:szCs w:val="24"/>
          <w:lang w:eastAsia="en-US"/>
        </w:rPr>
        <w:t xml:space="preserve">Организационно-правовая форма (полностью) «Наименование контрагента»</w:t>
      </w:r>
      <w:r>
        <w:rPr>
          <w:i/>
          <w:sz w:val="24"/>
          <w:szCs w:val="24"/>
          <w:lang w:eastAsia="en-US"/>
        </w:rPr>
      </w:r>
      <w:r>
        <w:rPr>
          <w:i/>
          <w:sz w:val="24"/>
          <w:szCs w:val="24"/>
          <w:lang w:eastAsia="en-US"/>
        </w:rPr>
      </w:r>
    </w:p>
    <w:p>
      <w:pPr>
        <w:jc w:val="right"/>
        <w:spacing w:before="120"/>
        <w:widowControl/>
        <w:tabs>
          <w:tab w:val="center" w:pos="4677" w:leader="none"/>
          <w:tab w:val="right" w:pos="9355" w:leader="none"/>
        </w:tabs>
        <w:rPr>
          <w:sz w:val="24"/>
          <w:szCs w:val="24"/>
          <w:lang w:eastAsia="en-US"/>
        </w:rPr>
      </w:pPr>
      <w:r>
        <w:rPr>
          <w:rFonts w:eastAsiaTheme="minorEastAsia"/>
          <w:sz w:val="24"/>
          <w:szCs w:val="24"/>
          <w:lang w:eastAsia="en-US"/>
        </w:rPr>
        <w:t xml:space="preserve">Дата </w:t>
      </w:r>
      <w:r>
        <w:rPr>
          <w:rFonts w:eastAsiaTheme="minorEastAsia"/>
          <w:i/>
          <w:sz w:val="24"/>
          <w:szCs w:val="24"/>
          <w:lang w:eastAsia="en-US"/>
        </w:rPr>
        <w:t xml:space="preserve">заполнения число/ месяц/ год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tbl>
      <w:tblPr>
        <w:tblpPr w:horzAnchor="margin" w:tblpXSpec="left" w:vertAnchor="text" w:tblpY="86" w:leftFromText="180" w:topFromText="0" w:rightFromText="180" w:bottomFromText="0"/>
        <w:tblW w:w="15310" w:type="dxa"/>
        <w:tblLayout w:type="fixed"/>
        <w:tblLook w:val="00A0" w:firstRow="1" w:lastRow="0" w:firstColumn="1" w:lastColumn="0" w:noHBand="0" w:noVBand="0"/>
      </w:tblPr>
      <w:tblGrid>
        <w:gridCol w:w="582"/>
        <w:gridCol w:w="886"/>
        <w:gridCol w:w="904"/>
        <w:gridCol w:w="1173"/>
        <w:gridCol w:w="1032"/>
        <w:gridCol w:w="952"/>
        <w:gridCol w:w="1242"/>
        <w:gridCol w:w="567"/>
        <w:gridCol w:w="806"/>
        <w:gridCol w:w="753"/>
        <w:gridCol w:w="957"/>
        <w:gridCol w:w="740"/>
        <w:gridCol w:w="1420"/>
        <w:gridCol w:w="1562"/>
        <w:gridCol w:w="1734"/>
      </w:tblGrid>
      <w:tr>
        <w:tblPrEx/>
        <w:trPr>
          <w:trHeight w:val="315"/>
        </w:trPr>
        <w:tc>
          <w:tcPr>
            <w:shd w:val="clear" w:color="auto" w:fill="bfbf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 xml:space="preserve">№ п/п</w:t>
            </w:r>
            <w:r>
              <w:rPr>
                <w:sz w:val="18"/>
                <w:szCs w:val="18"/>
                <w:lang w:val="en-US" w:eastAsia="en-US"/>
              </w:rPr>
            </w:r>
            <w:r>
              <w:rPr>
                <w:sz w:val="18"/>
                <w:szCs w:val="18"/>
                <w:lang w:val="en-US" w:eastAsia="en-US"/>
              </w:rPr>
            </w:r>
          </w:p>
        </w:tc>
        <w:tc>
          <w:tcPr>
            <w:gridSpan w:val="6"/>
            <w:shd w:val="clear" w:color="auto" w:fill="bfbfb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189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Наименование контрагента (ИНН, вид деятельности)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8"/>
            <w:shd w:val="clear" w:color="auto" w:fill="bfbfb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39" w:type="dxa"/>
            <w:vAlign w:val="bottom"/>
            <w:textDirection w:val="lrTb"/>
            <w:noWrap w:val="false"/>
          </w:tcPr>
          <w:p>
            <w:pPr>
              <w:widowControl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Информация в отношении всей цепочки собственников, включая бенефициаров (в том числе конечных)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1575"/>
        </w:trPr>
        <w:tc>
          <w:tcPr>
            <w:shd w:val="clear" w:color="auto" w:fill="bfbf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vMerge w:val="continue"/>
            <w:textDirection w:val="lrTb"/>
            <w:noWrap w:val="false"/>
          </w:tcPr>
          <w:p>
            <w:pPr>
              <w:widowControl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 xml:space="preserve">ИНН</w:t>
            </w:r>
            <w:r>
              <w:rPr>
                <w:sz w:val="18"/>
                <w:szCs w:val="18"/>
                <w:lang w:val="en-US" w:eastAsia="en-US"/>
              </w:rPr>
            </w:r>
            <w:r>
              <w:rPr>
                <w:sz w:val="18"/>
                <w:szCs w:val="18"/>
                <w:lang w:val="en-US"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 xml:space="preserve">ОГРН</w:t>
            </w:r>
            <w:r>
              <w:rPr>
                <w:sz w:val="18"/>
                <w:szCs w:val="18"/>
                <w:lang w:val="en-US" w:eastAsia="en-US"/>
              </w:rPr>
            </w:r>
            <w:r>
              <w:rPr>
                <w:sz w:val="18"/>
                <w:szCs w:val="18"/>
                <w:lang w:val="en-US"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 xml:space="preserve">Наименование</w:t>
            </w:r>
            <w:r>
              <w:rPr>
                <w:sz w:val="18"/>
                <w:szCs w:val="18"/>
                <w:lang w:val="en-US" w:eastAsia="en-US"/>
              </w:rPr>
              <w:t xml:space="preserve"> </w:t>
            </w:r>
            <w:r>
              <w:rPr>
                <w:sz w:val="18"/>
                <w:szCs w:val="18"/>
                <w:lang w:val="en-US" w:eastAsia="en-US"/>
              </w:rPr>
              <w:t xml:space="preserve">краткое</w:t>
            </w:r>
            <w:r>
              <w:rPr>
                <w:sz w:val="18"/>
                <w:szCs w:val="18"/>
                <w:lang w:val="en-US" w:eastAsia="en-US"/>
              </w:rPr>
            </w:r>
            <w:r>
              <w:rPr>
                <w:sz w:val="18"/>
                <w:szCs w:val="18"/>
                <w:lang w:val="en-US"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32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 xml:space="preserve">Код</w:t>
            </w:r>
            <w:r>
              <w:rPr>
                <w:sz w:val="18"/>
                <w:szCs w:val="18"/>
                <w:lang w:val="en-US" w:eastAsia="en-US"/>
              </w:rPr>
              <w:t xml:space="preserve"> ОКВЭД</w:t>
            </w:r>
            <w:r>
              <w:rPr>
                <w:sz w:val="18"/>
                <w:szCs w:val="18"/>
                <w:lang w:val="en-US" w:eastAsia="en-US"/>
              </w:rPr>
            </w:r>
            <w:r>
              <w:rPr>
                <w:sz w:val="18"/>
                <w:szCs w:val="18"/>
                <w:lang w:val="en-US"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2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 xml:space="preserve">Фамилия</w:t>
            </w:r>
            <w:r>
              <w:rPr>
                <w:sz w:val="18"/>
                <w:szCs w:val="18"/>
                <w:lang w:val="en-US" w:eastAsia="en-US"/>
              </w:rPr>
              <w:t xml:space="preserve">, </w:t>
            </w:r>
            <w:r>
              <w:rPr>
                <w:sz w:val="18"/>
                <w:szCs w:val="18"/>
                <w:lang w:val="en-US" w:eastAsia="en-US"/>
              </w:rPr>
              <w:t xml:space="preserve">Имя</w:t>
            </w:r>
            <w:r>
              <w:rPr>
                <w:sz w:val="18"/>
                <w:szCs w:val="18"/>
                <w:lang w:val="en-US" w:eastAsia="en-US"/>
              </w:rPr>
              <w:t xml:space="preserve">, </w:t>
            </w:r>
            <w:r>
              <w:rPr>
                <w:sz w:val="18"/>
                <w:szCs w:val="18"/>
                <w:lang w:val="en-US" w:eastAsia="en-US"/>
              </w:rPr>
              <w:t xml:space="preserve">Отчество</w:t>
            </w:r>
            <w:r>
              <w:rPr>
                <w:sz w:val="18"/>
                <w:szCs w:val="18"/>
                <w:lang w:val="en-US" w:eastAsia="en-US"/>
              </w:rPr>
              <w:t xml:space="preserve"> </w:t>
            </w:r>
            <w:r>
              <w:rPr>
                <w:sz w:val="18"/>
                <w:szCs w:val="18"/>
                <w:lang w:val="en-US" w:eastAsia="en-US"/>
              </w:rPr>
              <w:t xml:space="preserve">руководителя</w:t>
            </w:r>
            <w:r>
              <w:rPr>
                <w:sz w:val="18"/>
                <w:szCs w:val="18"/>
                <w:lang w:val="en-US" w:eastAsia="en-US"/>
              </w:rPr>
            </w:r>
            <w:r>
              <w:rPr>
                <w:sz w:val="18"/>
                <w:szCs w:val="18"/>
                <w:lang w:val="en-US"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2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Серия и номер документа удостоверяющего личность руководителя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 xml:space="preserve">№</w:t>
            </w:r>
            <w:r>
              <w:rPr>
                <w:sz w:val="18"/>
                <w:szCs w:val="18"/>
                <w:lang w:val="en-US" w:eastAsia="en-US"/>
              </w:rPr>
            </w:r>
            <w:r>
              <w:rPr>
                <w:sz w:val="18"/>
                <w:szCs w:val="18"/>
                <w:lang w:val="en-US"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 xml:space="preserve">ИНН </w:t>
            </w:r>
            <w:r>
              <w:rPr>
                <w:sz w:val="18"/>
                <w:szCs w:val="18"/>
                <w:lang w:val="en-US" w:eastAsia="en-US"/>
              </w:rPr>
            </w:r>
            <w:r>
              <w:rPr>
                <w:sz w:val="18"/>
                <w:szCs w:val="18"/>
                <w:lang w:val="en-US" w:eastAsia="en-US"/>
              </w:rPr>
            </w:r>
          </w:p>
          <w:p>
            <w:pPr>
              <w:jc w:val="center"/>
              <w:widowControl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 xml:space="preserve">(</w:t>
            </w:r>
            <w:r>
              <w:rPr>
                <w:sz w:val="18"/>
                <w:szCs w:val="18"/>
                <w:lang w:val="en-US" w:eastAsia="en-US"/>
              </w:rPr>
              <w:t xml:space="preserve">при</w:t>
            </w:r>
            <w:r>
              <w:rPr>
                <w:sz w:val="18"/>
                <w:szCs w:val="18"/>
                <w:lang w:val="en-US" w:eastAsia="en-US"/>
              </w:rPr>
              <w:t xml:space="preserve"> </w:t>
            </w:r>
            <w:r>
              <w:rPr>
                <w:sz w:val="18"/>
                <w:szCs w:val="18"/>
                <w:lang w:val="en-US" w:eastAsia="en-US"/>
              </w:rPr>
              <w:t xml:space="preserve">наличии</w:t>
            </w:r>
            <w:r>
              <w:rPr>
                <w:sz w:val="18"/>
                <w:szCs w:val="18"/>
                <w:lang w:val="en-US" w:eastAsia="en-US"/>
              </w:rPr>
              <w:t xml:space="preserve">)</w:t>
            </w:r>
            <w:r>
              <w:rPr>
                <w:sz w:val="18"/>
                <w:szCs w:val="18"/>
                <w:lang w:val="en-US" w:eastAsia="en-US"/>
              </w:rPr>
            </w:r>
            <w:r>
              <w:rPr>
                <w:sz w:val="18"/>
                <w:szCs w:val="18"/>
                <w:lang w:val="en-US"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 xml:space="preserve">ОГРН</w:t>
            </w:r>
            <w:r>
              <w:rPr>
                <w:sz w:val="18"/>
                <w:szCs w:val="18"/>
                <w:lang w:val="en-US" w:eastAsia="en-US"/>
              </w:rPr>
            </w:r>
            <w:r>
              <w:rPr>
                <w:sz w:val="18"/>
                <w:szCs w:val="18"/>
                <w:lang w:val="en-US"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 xml:space="preserve">Наименование</w:t>
            </w:r>
            <w:r>
              <w:rPr>
                <w:sz w:val="18"/>
                <w:szCs w:val="18"/>
                <w:lang w:val="en-US" w:eastAsia="en-US"/>
              </w:rPr>
              <w:t xml:space="preserve"> / Ф.И.О.</w:t>
            </w:r>
            <w:r>
              <w:rPr>
                <w:sz w:val="18"/>
                <w:szCs w:val="18"/>
                <w:lang w:val="en-US" w:eastAsia="en-US"/>
              </w:rPr>
            </w:r>
            <w:r>
              <w:rPr>
                <w:sz w:val="18"/>
                <w:szCs w:val="18"/>
                <w:lang w:val="en-US"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0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 xml:space="preserve">Адрес</w:t>
            </w:r>
            <w:r>
              <w:rPr>
                <w:sz w:val="18"/>
                <w:szCs w:val="18"/>
                <w:lang w:val="en-US" w:eastAsia="en-US"/>
              </w:rPr>
              <w:t xml:space="preserve"> </w:t>
            </w:r>
            <w:r>
              <w:rPr>
                <w:sz w:val="18"/>
                <w:szCs w:val="18"/>
                <w:lang w:val="en-US" w:eastAsia="en-US"/>
              </w:rPr>
              <w:t xml:space="preserve">регистрации</w:t>
            </w:r>
            <w:r>
              <w:rPr>
                <w:sz w:val="18"/>
                <w:szCs w:val="18"/>
                <w:lang w:val="en-US" w:eastAsia="en-US"/>
              </w:rPr>
            </w:r>
            <w:r>
              <w:rPr>
                <w:sz w:val="18"/>
                <w:szCs w:val="18"/>
                <w:lang w:val="en-US"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0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Серия и номер документа удостоверяющего личность физического лица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2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 xml:space="preserve">Руководитель</w:t>
            </w:r>
            <w:r>
              <w:rPr>
                <w:sz w:val="18"/>
                <w:szCs w:val="18"/>
                <w:lang w:val="en-US" w:eastAsia="en-US"/>
              </w:rPr>
              <w:t xml:space="preserve"> /</w:t>
            </w:r>
            <w:r>
              <w:rPr>
                <w:sz w:val="18"/>
                <w:szCs w:val="18"/>
                <w:lang w:val="en-US" w:eastAsia="en-US"/>
              </w:rPr>
              <w:t xml:space="preserve">участник</w:t>
            </w:r>
            <w:r>
              <w:rPr>
                <w:sz w:val="18"/>
                <w:szCs w:val="18"/>
                <w:lang w:val="en-US" w:eastAsia="en-US"/>
              </w:rPr>
              <w:t xml:space="preserve"> /</w:t>
            </w:r>
            <w:r>
              <w:rPr>
                <w:sz w:val="18"/>
                <w:szCs w:val="18"/>
                <w:lang w:val="en-US" w:eastAsia="en-US"/>
              </w:rPr>
              <w:t xml:space="preserve">бенефициар</w:t>
            </w:r>
            <w:r>
              <w:rPr>
                <w:sz w:val="18"/>
                <w:szCs w:val="18"/>
                <w:lang w:val="en-US" w:eastAsia="en-US"/>
              </w:rPr>
            </w:r>
            <w:r>
              <w:rPr>
                <w:sz w:val="18"/>
                <w:szCs w:val="18"/>
                <w:lang w:val="en-US"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Информация о подтверждающих</w:t>
            </w:r>
            <w:r>
              <w:rPr>
                <w:sz w:val="18"/>
                <w:szCs w:val="18"/>
                <w:lang w:eastAsia="en-US"/>
              </w:rPr>
              <w:t xml:space="preserve"> документах (наименование, номера и т.д.)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bfbfb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i/>
                <w:sz w:val="18"/>
                <w:szCs w:val="18"/>
                <w:lang w:val="en-US" w:eastAsia="en-US"/>
              </w:rPr>
            </w:pPr>
            <w:r>
              <w:rPr>
                <w:i/>
                <w:sz w:val="18"/>
                <w:szCs w:val="18"/>
                <w:lang w:val="en-US" w:eastAsia="en-US"/>
              </w:rPr>
              <w:t xml:space="preserve">1</w:t>
            </w:r>
            <w:r>
              <w:rPr>
                <w:i/>
                <w:sz w:val="18"/>
                <w:szCs w:val="18"/>
                <w:lang w:val="en-US" w:eastAsia="en-US"/>
              </w:rPr>
            </w:r>
            <w:r>
              <w:rPr>
                <w:i/>
                <w:sz w:val="18"/>
                <w:szCs w:val="18"/>
                <w:lang w:val="en-US"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i/>
                <w:sz w:val="18"/>
                <w:szCs w:val="18"/>
                <w:lang w:val="en-US" w:eastAsia="en-US"/>
              </w:rPr>
            </w:pPr>
            <w:r>
              <w:rPr>
                <w:i/>
                <w:sz w:val="18"/>
                <w:szCs w:val="18"/>
                <w:lang w:val="en-US" w:eastAsia="en-US"/>
              </w:rPr>
              <w:t xml:space="preserve">2</w:t>
            </w:r>
            <w:r>
              <w:rPr>
                <w:i/>
                <w:sz w:val="18"/>
                <w:szCs w:val="18"/>
                <w:lang w:val="en-US" w:eastAsia="en-US"/>
              </w:rPr>
            </w:r>
            <w:r>
              <w:rPr>
                <w:i/>
                <w:sz w:val="18"/>
                <w:szCs w:val="18"/>
                <w:lang w:val="en-US"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i/>
                <w:sz w:val="18"/>
                <w:szCs w:val="18"/>
                <w:lang w:val="en-US" w:eastAsia="en-US"/>
              </w:rPr>
            </w:pPr>
            <w:r>
              <w:rPr>
                <w:i/>
                <w:sz w:val="18"/>
                <w:szCs w:val="18"/>
                <w:lang w:val="en-US" w:eastAsia="en-US"/>
              </w:rPr>
              <w:t xml:space="preserve">3</w:t>
            </w:r>
            <w:r>
              <w:rPr>
                <w:i/>
                <w:sz w:val="18"/>
                <w:szCs w:val="18"/>
                <w:lang w:val="en-US" w:eastAsia="en-US"/>
              </w:rPr>
            </w:r>
            <w:r>
              <w:rPr>
                <w:i/>
                <w:sz w:val="18"/>
                <w:szCs w:val="18"/>
                <w:lang w:val="en-US"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i/>
                <w:sz w:val="18"/>
                <w:szCs w:val="18"/>
                <w:lang w:val="en-US" w:eastAsia="en-US"/>
              </w:rPr>
            </w:pPr>
            <w:r>
              <w:rPr>
                <w:i/>
                <w:sz w:val="18"/>
                <w:szCs w:val="18"/>
                <w:lang w:val="en-US" w:eastAsia="en-US"/>
              </w:rPr>
              <w:t xml:space="preserve">4</w:t>
            </w:r>
            <w:r>
              <w:rPr>
                <w:i/>
                <w:sz w:val="18"/>
                <w:szCs w:val="18"/>
                <w:lang w:val="en-US" w:eastAsia="en-US"/>
              </w:rPr>
            </w:r>
            <w:r>
              <w:rPr>
                <w:i/>
                <w:sz w:val="18"/>
                <w:szCs w:val="18"/>
                <w:lang w:val="en-US"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32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i/>
                <w:sz w:val="18"/>
                <w:szCs w:val="18"/>
                <w:lang w:val="en-US" w:eastAsia="en-US"/>
              </w:rPr>
            </w:pPr>
            <w:r>
              <w:rPr>
                <w:i/>
                <w:sz w:val="18"/>
                <w:szCs w:val="18"/>
                <w:lang w:val="en-US" w:eastAsia="en-US"/>
              </w:rPr>
              <w:t xml:space="preserve">5</w:t>
            </w:r>
            <w:r>
              <w:rPr>
                <w:i/>
                <w:sz w:val="18"/>
                <w:szCs w:val="18"/>
                <w:lang w:val="en-US" w:eastAsia="en-US"/>
              </w:rPr>
            </w:r>
            <w:r>
              <w:rPr>
                <w:i/>
                <w:sz w:val="18"/>
                <w:szCs w:val="18"/>
                <w:lang w:val="en-US"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2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i/>
                <w:sz w:val="18"/>
                <w:szCs w:val="18"/>
                <w:lang w:val="en-US" w:eastAsia="en-US"/>
              </w:rPr>
            </w:pPr>
            <w:r>
              <w:rPr>
                <w:i/>
                <w:sz w:val="18"/>
                <w:szCs w:val="18"/>
                <w:lang w:val="en-US" w:eastAsia="en-US"/>
              </w:rPr>
              <w:t xml:space="preserve">6</w:t>
            </w:r>
            <w:r>
              <w:rPr>
                <w:i/>
                <w:sz w:val="18"/>
                <w:szCs w:val="18"/>
                <w:lang w:val="en-US" w:eastAsia="en-US"/>
              </w:rPr>
            </w:r>
            <w:r>
              <w:rPr>
                <w:i/>
                <w:sz w:val="18"/>
                <w:szCs w:val="18"/>
                <w:lang w:val="en-US"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2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i/>
                <w:sz w:val="18"/>
                <w:szCs w:val="18"/>
                <w:lang w:val="en-US" w:eastAsia="en-US"/>
              </w:rPr>
            </w:pPr>
            <w:r>
              <w:rPr>
                <w:i/>
                <w:sz w:val="18"/>
                <w:szCs w:val="18"/>
                <w:lang w:val="en-US" w:eastAsia="en-US"/>
              </w:rPr>
              <w:t xml:space="preserve">7</w:t>
            </w:r>
            <w:r>
              <w:rPr>
                <w:i/>
                <w:sz w:val="18"/>
                <w:szCs w:val="18"/>
                <w:lang w:val="en-US" w:eastAsia="en-US"/>
              </w:rPr>
            </w:r>
            <w:r>
              <w:rPr>
                <w:i/>
                <w:sz w:val="18"/>
                <w:szCs w:val="18"/>
                <w:lang w:val="en-US"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i/>
                <w:sz w:val="18"/>
                <w:szCs w:val="18"/>
                <w:lang w:val="en-US" w:eastAsia="en-US"/>
              </w:rPr>
            </w:pPr>
            <w:r>
              <w:rPr>
                <w:i/>
                <w:sz w:val="18"/>
                <w:szCs w:val="18"/>
                <w:lang w:val="en-US" w:eastAsia="en-US"/>
              </w:rPr>
              <w:t xml:space="preserve">8</w:t>
            </w:r>
            <w:r>
              <w:rPr>
                <w:i/>
                <w:sz w:val="18"/>
                <w:szCs w:val="18"/>
                <w:lang w:val="en-US" w:eastAsia="en-US"/>
              </w:rPr>
            </w:r>
            <w:r>
              <w:rPr>
                <w:i/>
                <w:sz w:val="18"/>
                <w:szCs w:val="18"/>
                <w:lang w:val="en-US"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i/>
                <w:sz w:val="18"/>
                <w:szCs w:val="18"/>
                <w:lang w:val="en-US" w:eastAsia="en-US"/>
              </w:rPr>
            </w:pPr>
            <w:r>
              <w:rPr>
                <w:i/>
                <w:sz w:val="18"/>
                <w:szCs w:val="18"/>
                <w:lang w:val="en-US" w:eastAsia="en-US"/>
              </w:rPr>
              <w:t xml:space="preserve">9</w:t>
            </w:r>
            <w:r>
              <w:rPr>
                <w:i/>
                <w:sz w:val="18"/>
                <w:szCs w:val="18"/>
                <w:lang w:val="en-US" w:eastAsia="en-US"/>
              </w:rPr>
            </w:r>
            <w:r>
              <w:rPr>
                <w:i/>
                <w:sz w:val="18"/>
                <w:szCs w:val="18"/>
                <w:lang w:val="en-US"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i/>
                <w:sz w:val="18"/>
                <w:szCs w:val="18"/>
                <w:lang w:val="en-US" w:eastAsia="en-US"/>
              </w:rPr>
            </w:pPr>
            <w:r>
              <w:rPr>
                <w:i/>
                <w:sz w:val="18"/>
                <w:szCs w:val="18"/>
                <w:lang w:val="en-US" w:eastAsia="en-US"/>
              </w:rPr>
              <w:t xml:space="preserve">10</w:t>
            </w:r>
            <w:r>
              <w:rPr>
                <w:i/>
                <w:sz w:val="18"/>
                <w:szCs w:val="18"/>
                <w:lang w:val="en-US" w:eastAsia="en-US"/>
              </w:rPr>
            </w:r>
            <w:r>
              <w:rPr>
                <w:i/>
                <w:sz w:val="18"/>
                <w:szCs w:val="18"/>
                <w:lang w:val="en-US"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i/>
                <w:sz w:val="18"/>
                <w:szCs w:val="18"/>
                <w:lang w:val="en-US" w:eastAsia="en-US"/>
              </w:rPr>
            </w:pPr>
            <w:r>
              <w:rPr>
                <w:i/>
                <w:sz w:val="18"/>
                <w:szCs w:val="18"/>
                <w:lang w:val="en-US" w:eastAsia="en-US"/>
              </w:rPr>
              <w:t xml:space="preserve">11</w:t>
            </w:r>
            <w:r>
              <w:rPr>
                <w:i/>
                <w:sz w:val="18"/>
                <w:szCs w:val="18"/>
                <w:lang w:val="en-US" w:eastAsia="en-US"/>
              </w:rPr>
            </w:r>
            <w:r>
              <w:rPr>
                <w:i/>
                <w:sz w:val="18"/>
                <w:szCs w:val="18"/>
                <w:lang w:val="en-US"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0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i/>
                <w:sz w:val="18"/>
                <w:szCs w:val="18"/>
                <w:lang w:val="en-US" w:eastAsia="en-US"/>
              </w:rPr>
            </w:pPr>
            <w:r>
              <w:rPr>
                <w:i/>
                <w:sz w:val="18"/>
                <w:szCs w:val="18"/>
                <w:lang w:val="en-US" w:eastAsia="en-US"/>
              </w:rPr>
              <w:t xml:space="preserve">12</w:t>
            </w:r>
            <w:r>
              <w:rPr>
                <w:i/>
                <w:sz w:val="18"/>
                <w:szCs w:val="18"/>
                <w:lang w:val="en-US" w:eastAsia="en-US"/>
              </w:rPr>
            </w:r>
            <w:r>
              <w:rPr>
                <w:i/>
                <w:sz w:val="18"/>
                <w:szCs w:val="18"/>
                <w:lang w:val="en-US"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0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i/>
                <w:sz w:val="18"/>
                <w:szCs w:val="18"/>
                <w:lang w:val="en-US" w:eastAsia="en-US"/>
              </w:rPr>
            </w:pPr>
            <w:r>
              <w:rPr>
                <w:i/>
                <w:sz w:val="18"/>
                <w:szCs w:val="18"/>
                <w:lang w:val="en-US" w:eastAsia="en-US"/>
              </w:rPr>
              <w:t xml:space="preserve">13</w:t>
            </w:r>
            <w:r>
              <w:rPr>
                <w:i/>
                <w:sz w:val="18"/>
                <w:szCs w:val="18"/>
                <w:lang w:val="en-US" w:eastAsia="en-US"/>
              </w:rPr>
            </w:r>
            <w:r>
              <w:rPr>
                <w:i/>
                <w:sz w:val="18"/>
                <w:szCs w:val="18"/>
                <w:lang w:val="en-US"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2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i/>
                <w:sz w:val="18"/>
                <w:szCs w:val="18"/>
                <w:lang w:val="en-US" w:eastAsia="en-US"/>
              </w:rPr>
            </w:pPr>
            <w:r>
              <w:rPr>
                <w:i/>
                <w:sz w:val="18"/>
                <w:szCs w:val="18"/>
                <w:lang w:val="en-US" w:eastAsia="en-US"/>
              </w:rPr>
              <w:t xml:space="preserve">14</w:t>
            </w:r>
            <w:r>
              <w:rPr>
                <w:i/>
                <w:sz w:val="18"/>
                <w:szCs w:val="18"/>
                <w:lang w:val="en-US" w:eastAsia="en-US"/>
              </w:rPr>
            </w:r>
            <w:r>
              <w:rPr>
                <w:i/>
                <w:sz w:val="18"/>
                <w:szCs w:val="18"/>
                <w:lang w:val="en-US"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i/>
                <w:sz w:val="18"/>
                <w:szCs w:val="18"/>
                <w:lang w:val="en-US" w:eastAsia="en-US"/>
              </w:rPr>
            </w:pPr>
            <w:r>
              <w:rPr>
                <w:i/>
                <w:sz w:val="18"/>
                <w:szCs w:val="18"/>
                <w:lang w:val="en-US" w:eastAsia="en-US"/>
              </w:rPr>
              <w:t xml:space="preserve">15</w:t>
            </w:r>
            <w:r>
              <w:rPr>
                <w:i/>
                <w:sz w:val="18"/>
                <w:szCs w:val="18"/>
                <w:lang w:val="en-US" w:eastAsia="en-US"/>
              </w:rPr>
            </w:r>
            <w:r>
              <w:rPr>
                <w:i/>
                <w:sz w:val="18"/>
                <w:szCs w:val="18"/>
                <w:lang w:val="en-US" w:eastAsia="en-US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bottom"/>
            <w:textDirection w:val="lrTb"/>
            <w:noWrap/>
          </w:tcPr>
          <w:p>
            <w:pPr>
              <w:widowControl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 xml:space="preserve"> </w:t>
            </w:r>
            <w:r>
              <w:rPr>
                <w:sz w:val="18"/>
                <w:szCs w:val="18"/>
                <w:lang w:val="en-US" w:eastAsia="en-US"/>
              </w:rPr>
            </w:r>
            <w:r>
              <w:rPr>
                <w:sz w:val="18"/>
                <w:szCs w:val="18"/>
                <w:lang w:val="en-US"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bottom"/>
            <w:textDirection w:val="lrTb"/>
            <w:noWrap/>
          </w:tcPr>
          <w:p>
            <w:pPr>
              <w:widowControl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 xml:space="preserve"> </w:t>
            </w:r>
            <w:r>
              <w:rPr>
                <w:sz w:val="18"/>
                <w:szCs w:val="18"/>
                <w:lang w:val="en-US" w:eastAsia="en-US"/>
              </w:rPr>
            </w:r>
            <w:r>
              <w:rPr>
                <w:sz w:val="18"/>
                <w:szCs w:val="18"/>
                <w:lang w:val="en-US"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bottom"/>
            <w:textDirection w:val="lrTb"/>
            <w:noWrap/>
          </w:tcPr>
          <w:p>
            <w:pPr>
              <w:widowControl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 xml:space="preserve"> </w:t>
            </w:r>
            <w:r>
              <w:rPr>
                <w:sz w:val="18"/>
                <w:szCs w:val="18"/>
                <w:lang w:val="en-US" w:eastAsia="en-US"/>
              </w:rPr>
            </w:r>
            <w:r>
              <w:rPr>
                <w:sz w:val="18"/>
                <w:szCs w:val="18"/>
                <w:lang w:val="en-US"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bottom"/>
            <w:textDirection w:val="lrTb"/>
            <w:noWrap/>
          </w:tcPr>
          <w:p>
            <w:pPr>
              <w:widowControl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 xml:space="preserve"> </w:t>
            </w:r>
            <w:r>
              <w:rPr>
                <w:sz w:val="18"/>
                <w:szCs w:val="18"/>
                <w:lang w:val="en-US" w:eastAsia="en-US"/>
              </w:rPr>
            </w:r>
            <w:r>
              <w:rPr>
                <w:sz w:val="18"/>
                <w:szCs w:val="18"/>
                <w:lang w:val="en-US"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32" w:type="dxa"/>
            <w:vAlign w:val="bottom"/>
            <w:textDirection w:val="lrTb"/>
            <w:noWrap/>
          </w:tcPr>
          <w:p>
            <w:pPr>
              <w:widowControl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 xml:space="preserve"> </w:t>
            </w:r>
            <w:r>
              <w:rPr>
                <w:sz w:val="18"/>
                <w:szCs w:val="18"/>
                <w:lang w:val="en-US" w:eastAsia="en-US"/>
              </w:rPr>
            </w:r>
            <w:r>
              <w:rPr>
                <w:sz w:val="18"/>
                <w:szCs w:val="18"/>
                <w:lang w:val="en-US"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2" w:type="dxa"/>
            <w:vAlign w:val="bottom"/>
            <w:textDirection w:val="lrTb"/>
            <w:noWrap/>
          </w:tcPr>
          <w:p>
            <w:pPr>
              <w:widowControl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 xml:space="preserve"> </w:t>
            </w:r>
            <w:r>
              <w:rPr>
                <w:sz w:val="18"/>
                <w:szCs w:val="18"/>
                <w:lang w:val="en-US" w:eastAsia="en-US"/>
              </w:rPr>
            </w:r>
            <w:r>
              <w:rPr>
                <w:sz w:val="18"/>
                <w:szCs w:val="18"/>
                <w:lang w:val="en-US"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2" w:type="dxa"/>
            <w:vAlign w:val="bottom"/>
            <w:textDirection w:val="lrTb"/>
            <w:noWrap/>
          </w:tcPr>
          <w:p>
            <w:pPr>
              <w:widowControl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 xml:space="preserve"> </w:t>
            </w:r>
            <w:r>
              <w:rPr>
                <w:sz w:val="18"/>
                <w:szCs w:val="18"/>
                <w:lang w:val="en-US" w:eastAsia="en-US"/>
              </w:rPr>
            </w:r>
            <w:r>
              <w:rPr>
                <w:sz w:val="18"/>
                <w:szCs w:val="18"/>
                <w:lang w:val="en-US"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bottom"/>
            <w:textDirection w:val="lrTb"/>
            <w:noWrap/>
          </w:tcPr>
          <w:p>
            <w:pPr>
              <w:widowControl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 xml:space="preserve"> </w:t>
            </w:r>
            <w:r>
              <w:rPr>
                <w:sz w:val="18"/>
                <w:szCs w:val="18"/>
                <w:lang w:val="en-US" w:eastAsia="en-US"/>
              </w:rPr>
            </w:r>
            <w:r>
              <w:rPr>
                <w:sz w:val="18"/>
                <w:szCs w:val="18"/>
                <w:lang w:val="en-US"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bottom"/>
            <w:textDirection w:val="lrTb"/>
            <w:noWrap/>
          </w:tcPr>
          <w:p>
            <w:pPr>
              <w:widowControl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 xml:space="preserve"> </w:t>
            </w:r>
            <w:r>
              <w:rPr>
                <w:sz w:val="18"/>
                <w:szCs w:val="18"/>
                <w:lang w:val="en-US" w:eastAsia="en-US"/>
              </w:rPr>
            </w:r>
            <w:r>
              <w:rPr>
                <w:sz w:val="18"/>
                <w:szCs w:val="18"/>
                <w:lang w:val="en-US"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bottom"/>
            <w:textDirection w:val="lrTb"/>
            <w:noWrap/>
          </w:tcPr>
          <w:p>
            <w:pPr>
              <w:widowControl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 xml:space="preserve"> </w:t>
            </w:r>
            <w:r>
              <w:rPr>
                <w:sz w:val="18"/>
                <w:szCs w:val="18"/>
                <w:lang w:val="en-US" w:eastAsia="en-US"/>
              </w:rPr>
            </w:r>
            <w:r>
              <w:rPr>
                <w:sz w:val="18"/>
                <w:szCs w:val="18"/>
                <w:lang w:val="en-US"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bottom"/>
            <w:textDirection w:val="lrTb"/>
            <w:noWrap/>
          </w:tcPr>
          <w:p>
            <w:pPr>
              <w:widowControl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 xml:space="preserve"> </w:t>
            </w:r>
            <w:r>
              <w:rPr>
                <w:sz w:val="18"/>
                <w:szCs w:val="18"/>
                <w:lang w:val="en-US" w:eastAsia="en-US"/>
              </w:rPr>
            </w:r>
            <w:r>
              <w:rPr>
                <w:sz w:val="18"/>
                <w:szCs w:val="18"/>
                <w:lang w:val="en-US"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0" w:type="dxa"/>
            <w:vAlign w:val="bottom"/>
            <w:textDirection w:val="lrTb"/>
            <w:noWrap/>
          </w:tcPr>
          <w:p>
            <w:pPr>
              <w:widowControl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 xml:space="preserve"> </w:t>
            </w:r>
            <w:r>
              <w:rPr>
                <w:sz w:val="18"/>
                <w:szCs w:val="18"/>
                <w:lang w:val="en-US" w:eastAsia="en-US"/>
              </w:rPr>
            </w:r>
            <w:r>
              <w:rPr>
                <w:sz w:val="18"/>
                <w:szCs w:val="18"/>
                <w:lang w:val="en-US"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0" w:type="dxa"/>
            <w:vAlign w:val="bottom"/>
            <w:textDirection w:val="lrTb"/>
            <w:noWrap/>
          </w:tcPr>
          <w:p>
            <w:pPr>
              <w:widowControl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 xml:space="preserve"> </w:t>
            </w:r>
            <w:r>
              <w:rPr>
                <w:sz w:val="18"/>
                <w:szCs w:val="18"/>
                <w:lang w:val="en-US" w:eastAsia="en-US"/>
              </w:rPr>
            </w:r>
            <w:r>
              <w:rPr>
                <w:sz w:val="18"/>
                <w:szCs w:val="18"/>
                <w:lang w:val="en-US"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2" w:type="dxa"/>
            <w:vAlign w:val="bottom"/>
            <w:textDirection w:val="lrTb"/>
            <w:noWrap/>
          </w:tcPr>
          <w:p>
            <w:pPr>
              <w:widowControl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 xml:space="preserve"> </w:t>
            </w:r>
            <w:r>
              <w:rPr>
                <w:sz w:val="18"/>
                <w:szCs w:val="18"/>
                <w:lang w:val="en-US" w:eastAsia="en-US"/>
              </w:rPr>
            </w:r>
            <w:r>
              <w:rPr>
                <w:sz w:val="18"/>
                <w:szCs w:val="18"/>
                <w:lang w:val="en-US"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bottom"/>
            <w:textDirection w:val="lrTb"/>
            <w:noWrap/>
          </w:tcPr>
          <w:p>
            <w:pPr>
              <w:widowControl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 xml:space="preserve"> </w:t>
            </w:r>
            <w:r>
              <w:rPr>
                <w:sz w:val="18"/>
                <w:szCs w:val="18"/>
                <w:lang w:val="en-US" w:eastAsia="en-US"/>
              </w:rPr>
            </w:r>
            <w:r>
              <w:rPr>
                <w:sz w:val="18"/>
                <w:szCs w:val="18"/>
                <w:lang w:val="en-US" w:eastAsia="en-US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bottom"/>
            <w:textDirection w:val="lrTb"/>
            <w:noWrap/>
          </w:tcPr>
          <w:p>
            <w:pPr>
              <w:widowControl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 xml:space="preserve"> </w:t>
            </w:r>
            <w:r>
              <w:rPr>
                <w:sz w:val="18"/>
                <w:szCs w:val="18"/>
                <w:lang w:val="en-US" w:eastAsia="en-US"/>
              </w:rPr>
            </w:r>
            <w:r>
              <w:rPr>
                <w:sz w:val="18"/>
                <w:szCs w:val="18"/>
                <w:lang w:val="en-US"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bottom"/>
            <w:textDirection w:val="lrTb"/>
            <w:noWrap/>
          </w:tcPr>
          <w:p>
            <w:pPr>
              <w:widowControl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 xml:space="preserve"> </w:t>
            </w:r>
            <w:r>
              <w:rPr>
                <w:sz w:val="18"/>
                <w:szCs w:val="18"/>
                <w:lang w:val="en-US" w:eastAsia="en-US"/>
              </w:rPr>
            </w:r>
            <w:r>
              <w:rPr>
                <w:sz w:val="18"/>
                <w:szCs w:val="18"/>
                <w:lang w:val="en-US"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bottom"/>
            <w:textDirection w:val="lrTb"/>
            <w:noWrap/>
          </w:tcPr>
          <w:p>
            <w:pPr>
              <w:widowControl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 xml:space="preserve"> </w:t>
            </w:r>
            <w:r>
              <w:rPr>
                <w:sz w:val="18"/>
                <w:szCs w:val="18"/>
                <w:lang w:val="en-US" w:eastAsia="en-US"/>
              </w:rPr>
            </w:r>
            <w:r>
              <w:rPr>
                <w:sz w:val="18"/>
                <w:szCs w:val="18"/>
                <w:lang w:val="en-US"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bottom"/>
            <w:textDirection w:val="lrTb"/>
            <w:noWrap/>
          </w:tcPr>
          <w:p>
            <w:pPr>
              <w:widowControl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 xml:space="preserve"> </w:t>
            </w:r>
            <w:r>
              <w:rPr>
                <w:sz w:val="18"/>
                <w:szCs w:val="18"/>
                <w:lang w:val="en-US" w:eastAsia="en-US"/>
              </w:rPr>
            </w:r>
            <w:r>
              <w:rPr>
                <w:sz w:val="18"/>
                <w:szCs w:val="18"/>
                <w:lang w:val="en-US"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32" w:type="dxa"/>
            <w:vAlign w:val="bottom"/>
            <w:textDirection w:val="lrTb"/>
            <w:noWrap/>
          </w:tcPr>
          <w:p>
            <w:pPr>
              <w:widowControl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 xml:space="preserve"> </w:t>
            </w:r>
            <w:r>
              <w:rPr>
                <w:sz w:val="18"/>
                <w:szCs w:val="18"/>
                <w:lang w:val="en-US" w:eastAsia="en-US"/>
              </w:rPr>
            </w:r>
            <w:r>
              <w:rPr>
                <w:sz w:val="18"/>
                <w:szCs w:val="18"/>
                <w:lang w:val="en-US"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2" w:type="dxa"/>
            <w:vAlign w:val="bottom"/>
            <w:textDirection w:val="lrTb"/>
            <w:noWrap/>
          </w:tcPr>
          <w:p>
            <w:pPr>
              <w:widowControl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 xml:space="preserve"> </w:t>
            </w:r>
            <w:r>
              <w:rPr>
                <w:sz w:val="18"/>
                <w:szCs w:val="18"/>
                <w:lang w:val="en-US" w:eastAsia="en-US"/>
              </w:rPr>
            </w:r>
            <w:r>
              <w:rPr>
                <w:sz w:val="18"/>
                <w:szCs w:val="18"/>
                <w:lang w:val="en-US"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2" w:type="dxa"/>
            <w:vAlign w:val="bottom"/>
            <w:textDirection w:val="lrTb"/>
            <w:noWrap/>
          </w:tcPr>
          <w:p>
            <w:pPr>
              <w:widowControl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 xml:space="preserve"> </w:t>
            </w:r>
            <w:r>
              <w:rPr>
                <w:sz w:val="18"/>
                <w:szCs w:val="18"/>
                <w:lang w:val="en-US" w:eastAsia="en-US"/>
              </w:rPr>
            </w:r>
            <w:r>
              <w:rPr>
                <w:sz w:val="18"/>
                <w:szCs w:val="18"/>
                <w:lang w:val="en-US"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bottom"/>
            <w:textDirection w:val="lrTb"/>
            <w:noWrap/>
          </w:tcPr>
          <w:p>
            <w:pPr>
              <w:widowControl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 xml:space="preserve"> </w:t>
            </w:r>
            <w:r>
              <w:rPr>
                <w:sz w:val="18"/>
                <w:szCs w:val="18"/>
                <w:lang w:val="en-US" w:eastAsia="en-US"/>
              </w:rPr>
            </w:r>
            <w:r>
              <w:rPr>
                <w:sz w:val="18"/>
                <w:szCs w:val="18"/>
                <w:lang w:val="en-US"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bottom"/>
            <w:textDirection w:val="lrTb"/>
            <w:noWrap/>
          </w:tcPr>
          <w:p>
            <w:pPr>
              <w:widowControl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 xml:space="preserve"> </w:t>
            </w:r>
            <w:r>
              <w:rPr>
                <w:sz w:val="18"/>
                <w:szCs w:val="18"/>
                <w:lang w:val="en-US" w:eastAsia="en-US"/>
              </w:rPr>
            </w:r>
            <w:r>
              <w:rPr>
                <w:sz w:val="18"/>
                <w:szCs w:val="18"/>
                <w:lang w:val="en-US"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bottom"/>
            <w:textDirection w:val="lrTb"/>
            <w:noWrap/>
          </w:tcPr>
          <w:p>
            <w:pPr>
              <w:widowControl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 xml:space="preserve"> </w:t>
            </w:r>
            <w:r>
              <w:rPr>
                <w:sz w:val="18"/>
                <w:szCs w:val="18"/>
                <w:lang w:val="en-US" w:eastAsia="en-US"/>
              </w:rPr>
            </w:r>
            <w:r>
              <w:rPr>
                <w:sz w:val="18"/>
                <w:szCs w:val="18"/>
                <w:lang w:val="en-US"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bottom"/>
            <w:textDirection w:val="lrTb"/>
            <w:noWrap/>
          </w:tcPr>
          <w:p>
            <w:pPr>
              <w:widowControl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 xml:space="preserve"> </w:t>
            </w:r>
            <w:r>
              <w:rPr>
                <w:sz w:val="18"/>
                <w:szCs w:val="18"/>
                <w:lang w:val="en-US" w:eastAsia="en-US"/>
              </w:rPr>
            </w:r>
            <w:r>
              <w:rPr>
                <w:sz w:val="18"/>
                <w:szCs w:val="18"/>
                <w:lang w:val="en-US"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0" w:type="dxa"/>
            <w:vAlign w:val="bottom"/>
            <w:textDirection w:val="lrTb"/>
            <w:noWrap/>
          </w:tcPr>
          <w:p>
            <w:pPr>
              <w:widowControl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 xml:space="preserve"> </w:t>
            </w:r>
            <w:r>
              <w:rPr>
                <w:sz w:val="18"/>
                <w:szCs w:val="18"/>
                <w:lang w:val="en-US" w:eastAsia="en-US"/>
              </w:rPr>
            </w:r>
            <w:r>
              <w:rPr>
                <w:sz w:val="18"/>
                <w:szCs w:val="18"/>
                <w:lang w:val="en-US"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0" w:type="dxa"/>
            <w:vAlign w:val="bottom"/>
            <w:textDirection w:val="lrTb"/>
            <w:noWrap/>
          </w:tcPr>
          <w:p>
            <w:pPr>
              <w:widowControl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 xml:space="preserve"> </w:t>
            </w:r>
            <w:r>
              <w:rPr>
                <w:sz w:val="18"/>
                <w:szCs w:val="18"/>
                <w:lang w:val="en-US" w:eastAsia="en-US"/>
              </w:rPr>
            </w:r>
            <w:r>
              <w:rPr>
                <w:sz w:val="18"/>
                <w:szCs w:val="18"/>
                <w:lang w:val="en-US"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2" w:type="dxa"/>
            <w:vAlign w:val="bottom"/>
            <w:textDirection w:val="lrTb"/>
            <w:noWrap/>
          </w:tcPr>
          <w:p>
            <w:pPr>
              <w:widowControl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 xml:space="preserve"> </w:t>
            </w:r>
            <w:r>
              <w:rPr>
                <w:sz w:val="18"/>
                <w:szCs w:val="18"/>
                <w:lang w:val="en-US" w:eastAsia="en-US"/>
              </w:rPr>
            </w:r>
            <w:r>
              <w:rPr>
                <w:sz w:val="18"/>
                <w:szCs w:val="18"/>
                <w:lang w:val="en-US"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bottom"/>
            <w:textDirection w:val="lrTb"/>
            <w:noWrap/>
          </w:tcPr>
          <w:p>
            <w:pPr>
              <w:widowControl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 xml:space="preserve"> </w:t>
            </w:r>
            <w:r>
              <w:rPr>
                <w:sz w:val="18"/>
                <w:szCs w:val="18"/>
                <w:lang w:val="en-US" w:eastAsia="en-US"/>
              </w:rPr>
            </w:r>
            <w:r>
              <w:rPr>
                <w:sz w:val="18"/>
                <w:szCs w:val="18"/>
                <w:lang w:val="en-US" w:eastAsia="en-US"/>
              </w:rPr>
            </w:r>
          </w:p>
        </w:tc>
      </w:tr>
    </w:tbl>
    <w:p>
      <w:pPr>
        <w:numPr>
          <w:ilvl w:val="1"/>
          <w:numId w:val="9"/>
        </w:numPr>
        <w:ind w:left="567"/>
        <w:jc w:val="both"/>
        <w:widowControl/>
        <w:tabs>
          <w:tab w:val="num" w:pos="142" w:leader="none"/>
          <w:tab w:val="center" w:pos="4677" w:leader="none"/>
          <w:tab w:val="right" w:pos="9355" w:leader="none"/>
        </w:tabs>
        <w:rPr>
          <w:sz w:val="18"/>
          <w:szCs w:val="18"/>
          <w:lang w:eastAsia="en-US"/>
        </w:rPr>
      </w:pPr>
      <w:r>
        <w:rPr>
          <w:rFonts w:eastAsiaTheme="minorEastAsia"/>
          <w:sz w:val="18"/>
          <w:szCs w:val="18"/>
          <w:lang w:eastAsia="en-US"/>
        </w:rPr>
        <w:t xml:space="preserve">Контрагент (указать: Исполнитель/Подрядчик/ иное наименование контрагента) гарантирует Обществу (указать: Заказчику/иное наименование Общества), что сведения и документы в отношении всей цепочки собственников и руководителей, включая бенефициаров (в том чи</w:t>
      </w:r>
      <w:r>
        <w:rPr>
          <w:rFonts w:eastAsiaTheme="minorEastAsia"/>
          <w:sz w:val="18"/>
          <w:szCs w:val="18"/>
          <w:lang w:eastAsia="en-US"/>
        </w:rPr>
        <w:t xml:space="preserve">сле конечных), передаваемые Обществу (указать: Заказчику/иное наименование Общества) являются полными, точными и достоверными.</w:t>
      </w:r>
      <w:r>
        <w:rPr>
          <w:sz w:val="18"/>
          <w:szCs w:val="18"/>
          <w:lang w:eastAsia="en-US"/>
        </w:rPr>
      </w:r>
      <w:r>
        <w:rPr>
          <w:sz w:val="18"/>
          <w:szCs w:val="18"/>
          <w:lang w:eastAsia="en-US"/>
        </w:rPr>
      </w:r>
    </w:p>
    <w:p>
      <w:pPr>
        <w:numPr>
          <w:ilvl w:val="1"/>
          <w:numId w:val="9"/>
        </w:numPr>
        <w:ind w:left="567"/>
        <w:jc w:val="both"/>
        <w:widowControl/>
        <w:tabs>
          <w:tab w:val="num" w:pos="142" w:leader="none"/>
          <w:tab w:val="center" w:pos="4677" w:leader="none"/>
          <w:tab w:val="right" w:pos="9355" w:leader="none"/>
        </w:tabs>
        <w:rPr>
          <w:sz w:val="18"/>
          <w:szCs w:val="18"/>
          <w:lang w:eastAsia="en-US"/>
        </w:rPr>
      </w:pPr>
      <w:r>
        <w:rPr>
          <w:rFonts w:eastAsiaTheme="minorEastAsia"/>
          <w:sz w:val="18"/>
          <w:szCs w:val="18"/>
          <w:lang w:eastAsia="en-US"/>
        </w:rPr>
        <w:t xml:space="preserve">Контрагент (указать: Исполнитель/Подрядчик/ иное наименование контрагента) настоящим выдает согласие и подтверждает получение им </w:t>
      </w:r>
      <w:r>
        <w:rPr>
          <w:rFonts w:eastAsiaTheme="minorEastAsia"/>
          <w:sz w:val="18"/>
          <w:szCs w:val="18"/>
          <w:lang w:eastAsia="en-US"/>
        </w:rPr>
        <w:t xml:space="preserve">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</w:t>
      </w:r>
      <w:r>
        <w:rPr>
          <w:rFonts w:eastAsiaTheme="minorEastAsia"/>
          <w:sz w:val="18"/>
          <w:szCs w:val="18"/>
          <w:lang w:eastAsia="en-US"/>
        </w:rPr>
        <w:t xml:space="preserve">указать: Заказчиком/иное наименование Общества) полностью или частично представленных сведений компетентным органам государственной власти (в том числе, но, не ограничиваясь, Федеральной налоговой службе РФ, Минэнерго России, </w:t>
      </w:r>
      <w:r>
        <w:rPr>
          <w:rFonts w:eastAsiaTheme="minorEastAsia"/>
          <w:sz w:val="18"/>
          <w:szCs w:val="18"/>
          <w:lang w:eastAsia="en-US"/>
        </w:rPr>
        <w:t xml:space="preserve">Росфинмониторингу</w:t>
      </w:r>
      <w:r>
        <w:rPr>
          <w:rFonts w:eastAsiaTheme="minorEastAsia"/>
          <w:sz w:val="18"/>
          <w:szCs w:val="18"/>
          <w:lang w:eastAsia="en-US"/>
        </w:rPr>
        <w:t xml:space="preserve">, Правительст</w:t>
      </w:r>
      <w:r>
        <w:rPr>
          <w:rFonts w:eastAsiaTheme="minorEastAsia"/>
          <w:sz w:val="18"/>
          <w:szCs w:val="18"/>
          <w:lang w:eastAsia="en-US"/>
        </w:rPr>
        <w:t xml:space="preserve">ву РФ) и последующую обработку сведений такими органами (далее - Раскрытие). Контрагент (указать: Исполнитель/Подрядчик/ иное наименование контрагента) настоящим освобождает Общество (указать: Заказчика/иное наименование Общества) от любой ответственности </w:t>
      </w:r>
      <w:r>
        <w:rPr>
          <w:rFonts w:eastAsiaTheme="minorEastAsia"/>
          <w:sz w:val="18"/>
          <w:szCs w:val="18"/>
          <w:lang w:eastAsia="en-US"/>
        </w:rPr>
        <w:t xml:space="preserve">в связи с Раскрытием, в том числе возмещает Обществу (указать: Заказчику/иное наименование Общества) убытки, понесенные в связи с предъявлением Обществу (указать: Заказчику/иное наименование Общества) претензий, исков и требований любыми третьими лицами, ч</w:t>
      </w:r>
      <w:r>
        <w:rPr>
          <w:rFonts w:eastAsiaTheme="minorEastAsia"/>
          <w:sz w:val="18"/>
          <w:szCs w:val="18"/>
          <w:lang w:eastAsia="en-US"/>
        </w:rPr>
        <w:t xml:space="preserve">ьи права были или могли быть нарушены таким Раскрытием.</w:t>
      </w:r>
      <w:r>
        <w:rPr>
          <w:sz w:val="18"/>
          <w:szCs w:val="18"/>
          <w:lang w:eastAsia="en-US"/>
        </w:rPr>
      </w:r>
      <w:r>
        <w:rPr>
          <w:sz w:val="18"/>
          <w:szCs w:val="18"/>
          <w:lang w:eastAsia="en-US"/>
        </w:rPr>
      </w:r>
    </w:p>
    <w:p>
      <w:pPr>
        <w:jc w:val="right"/>
        <w:widowControl/>
        <w:tabs>
          <w:tab w:val="center" w:pos="4677" w:leader="none"/>
          <w:tab w:val="right" w:pos="9355" w:leader="none"/>
        </w:tabs>
        <w:rPr>
          <w:b/>
          <w:sz w:val="18"/>
          <w:szCs w:val="18"/>
          <w:lang w:eastAsia="en-US"/>
        </w:rPr>
      </w:pPr>
      <w:r>
        <w:rPr>
          <w:rFonts w:eastAsiaTheme="minorEastAsia"/>
          <w:b/>
          <w:sz w:val="18"/>
          <w:szCs w:val="18"/>
          <w:lang w:eastAsia="en-US"/>
        </w:rPr>
        <w:t xml:space="preserve">подпись уполномоченного лица организации</w:t>
      </w:r>
      <w:r>
        <w:rPr>
          <w:b/>
          <w:sz w:val="18"/>
          <w:szCs w:val="18"/>
          <w:lang w:eastAsia="en-US"/>
        </w:rPr>
      </w:r>
      <w:r>
        <w:rPr>
          <w:b/>
          <w:sz w:val="18"/>
          <w:szCs w:val="18"/>
          <w:lang w:eastAsia="en-US"/>
        </w:rPr>
      </w:r>
    </w:p>
    <w:p>
      <w:pPr>
        <w:jc w:val="right"/>
        <w:widowControl/>
        <w:rPr>
          <w:b/>
          <w:sz w:val="18"/>
          <w:szCs w:val="18"/>
          <w:lang w:eastAsia="en-US"/>
        </w:rPr>
        <w:sectPr>
          <w:footnotePr/>
          <w:endnotePr/>
          <w:type w:val="nextPage"/>
          <w:pgSz w:w="16838" w:h="11906" w:orient="landscape"/>
          <w:pgMar w:top="1276" w:right="1134" w:bottom="850" w:left="1134" w:header="708" w:footer="708" w:gutter="0"/>
          <w:cols w:num="1" w:sep="0" w:space="708" w:equalWidth="1"/>
          <w:docGrid w:linePitch="360"/>
        </w:sectPr>
      </w:pPr>
      <w:r>
        <w:rPr>
          <w:rFonts w:eastAsiaTheme="minorEastAsia"/>
          <w:b/>
          <w:sz w:val="18"/>
          <w:szCs w:val="18"/>
          <w:lang w:eastAsia="en-US"/>
        </w:rPr>
        <w:t xml:space="preserve">печать организации</w:t>
      </w:r>
      <w:r>
        <w:rPr>
          <w:b/>
          <w:sz w:val="18"/>
          <w:szCs w:val="18"/>
          <w:lang w:eastAsia="en-US"/>
        </w:rPr>
      </w:r>
      <w:r>
        <w:rPr>
          <w:b/>
          <w:sz w:val="18"/>
          <w:szCs w:val="18"/>
          <w:lang w:eastAsia="en-US"/>
        </w:rPr>
      </w:r>
    </w:p>
    <w:p>
      <w:pPr>
        <w:ind w:left="6521" w:firstLine="6"/>
        <w:rPr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Приложение № 3 к Договору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6521"/>
        <w:rPr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от 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6521"/>
        <w:rPr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№ 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before="24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036"/>
        <w:gridCol w:w="5880"/>
      </w:tblGrid>
      <w:tr>
        <w:tblPrEx/>
        <w:trPr>
          <w:cantSplit/>
          <w:trHeight w:val="20"/>
        </w:trPr>
        <w:tc>
          <w:tcPr>
            <w:gridSpan w:val="2"/>
            <w:shd w:val="clear" w:color="ffffff" w:fill="ffffff"/>
            <w:tcW w:w="5000" w:type="pct"/>
            <w:textDirection w:val="lrTb"/>
            <w:noWrap w:val="false"/>
          </w:tcPr>
          <w:p>
            <w:pPr>
              <w:pStyle w:val="1014"/>
              <w:jc w:val="center"/>
              <w:keepLine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СОГЛАСИЯ НА ОБРАБОТКУ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ПЕРСОНАЛЬНЫХ ДАННЫХ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shd w:val="clear" w:color="ffffff" w:fill="ffffff"/>
            <w:tcW w:w="5000" w:type="pct"/>
            <w:textDirection w:val="lrTb"/>
            <w:noWrap w:val="false"/>
          </w:tcPr>
          <w:p>
            <w:pPr>
              <w:jc w:val="right"/>
              <w:keepLines/>
            </w:pPr>
            <w:r/>
            <w:r/>
          </w:p>
          <w:p>
            <w:pPr>
              <w:jc w:val="right"/>
              <w:keepLines/>
            </w:pPr>
            <w:r>
              <w:t xml:space="preserve">Дата: ___________ 20____</w:t>
            </w:r>
            <w:r/>
          </w:p>
        </w:tc>
      </w:tr>
      <w:tr>
        <w:tblPrEx/>
        <w:trPr>
          <w:cantSplit/>
          <w:trHeight w:val="20"/>
        </w:trPr>
        <w:tc>
          <w:tcPr>
            <w:gridSpan w:val="2"/>
            <w:shd w:val="clear" w:color="ffffff" w:fill="ffffff"/>
            <w:tcW w:w="5000" w:type="pct"/>
            <w:textDirection w:val="lrTb"/>
            <w:noWrap w:val="false"/>
          </w:tcPr>
          <w:p>
            <w:pPr>
              <w:pStyle w:val="1015"/>
              <w:numPr>
                <w:ilvl w:val="0"/>
                <w:numId w:val="27"/>
              </w:numPr>
              <w:ind w:left="567" w:hanging="567"/>
              <w:keepLines/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  <w:t xml:space="preserve">Субъект персональных данных</w:t>
            </w:r>
            <w:r>
              <w:rPr>
                <w:rFonts w:ascii="Times New Roman" w:hAnsi="Times New Roman"/>
                <w:lang w:val="ru-RU"/>
              </w:rPr>
            </w:r>
            <w:r>
              <w:rPr>
                <w:rFonts w:ascii="Times New Roman" w:hAnsi="Times New Roman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shd w:val="clear" w:color="ffffff" w:fill="ffffff"/>
            <w:tcW w:w="5000" w:type="pct"/>
            <w:textDirection w:val="lrTb"/>
            <w:noWrap w:val="false"/>
          </w:tcPr>
          <w:p>
            <w:pPr>
              <w:pStyle w:val="1016"/>
              <w:ind w:left="567"/>
              <w:spacing w:after="0" w:line="240" w:lineRule="auto"/>
              <w:widowControl w:val="off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_______________________________________________________________________</w:t>
            </w:r>
            <w:r>
              <w:rPr>
                <w:rFonts w:ascii="Times New Roman" w:hAnsi="Times New Roman"/>
                <w:lang w:val="ru-RU"/>
              </w:rPr>
            </w:r>
            <w:r>
              <w:rPr>
                <w:rFonts w:ascii="Times New Roman" w:hAnsi="Times New Roman"/>
                <w:lang w:val="ru-RU"/>
              </w:rPr>
            </w:r>
          </w:p>
          <w:p>
            <w:pPr>
              <w:pStyle w:val="1016"/>
              <w:ind w:left="567"/>
              <w:jc w:val="center"/>
              <w:spacing w:after="0" w:line="240" w:lineRule="auto"/>
              <w:widowControl w:val="off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0"/>
                <w:szCs w:val="24"/>
                <w:vertAlign w:val="superscript"/>
                <w:lang w:val="ru-RU"/>
              </w:rPr>
              <w:t xml:space="preserve">(фамилия, имя, отчество),</w:t>
            </w:r>
            <w:r>
              <w:rPr>
                <w:rFonts w:ascii="Times New Roman" w:hAnsi="Times New Roman"/>
                <w:lang w:val="ru-RU"/>
              </w:rPr>
            </w:r>
            <w:r>
              <w:rPr>
                <w:rFonts w:ascii="Times New Roman" w:hAnsi="Times New Roman"/>
                <w:lang w:val="ru-RU"/>
              </w:rPr>
            </w:r>
          </w:p>
          <w:p>
            <w:pPr>
              <w:pStyle w:val="1016"/>
              <w:ind w:left="567"/>
              <w:spacing w:after="0" w:line="240" w:lineRule="auto"/>
              <w:widowControl w:val="off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_______________________________________________________________________</w:t>
            </w:r>
            <w:r>
              <w:rPr>
                <w:rFonts w:ascii="Times New Roman" w:hAnsi="Times New Roman"/>
                <w:lang w:val="ru-RU"/>
              </w:rPr>
            </w:r>
            <w:r>
              <w:rPr>
                <w:rFonts w:ascii="Times New Roman" w:hAnsi="Times New Roman"/>
                <w:lang w:val="ru-RU"/>
              </w:rPr>
            </w:r>
          </w:p>
          <w:p>
            <w:pPr>
              <w:pStyle w:val="1016"/>
              <w:ind w:left="567"/>
              <w:jc w:val="center"/>
              <w:spacing w:after="0" w:line="240" w:lineRule="auto"/>
              <w:widowControl w:val="off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0"/>
                <w:szCs w:val="24"/>
                <w:vertAlign w:val="superscript"/>
                <w:lang w:val="ru-RU"/>
              </w:rPr>
              <w:t xml:space="preserve">(адрес регистрации или фактический адрес проживания (если отличается))</w:t>
            </w:r>
            <w:r>
              <w:rPr>
                <w:rFonts w:ascii="Times New Roman" w:hAnsi="Times New Roman"/>
                <w:lang w:val="ru-RU"/>
              </w:rPr>
            </w:r>
            <w:r>
              <w:rPr>
                <w:rFonts w:ascii="Times New Roman" w:hAnsi="Times New Roman"/>
                <w:lang w:val="ru-RU"/>
              </w:rPr>
            </w:r>
          </w:p>
          <w:p>
            <w:pPr>
              <w:pStyle w:val="1016"/>
              <w:ind w:left="567"/>
              <w:spacing w:after="0" w:line="240" w:lineRule="auto"/>
              <w:widowControl w:val="off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_______________________________________________________________________</w:t>
            </w:r>
            <w:r>
              <w:rPr>
                <w:rFonts w:ascii="Times New Roman" w:hAnsi="Times New Roman"/>
                <w:lang w:val="ru-RU"/>
              </w:rPr>
            </w:r>
            <w:r>
              <w:rPr>
                <w:rFonts w:ascii="Times New Roman" w:hAnsi="Times New Roman"/>
                <w:lang w:val="ru-RU"/>
              </w:rPr>
            </w:r>
          </w:p>
          <w:p>
            <w:pPr>
              <w:pStyle w:val="1016"/>
              <w:ind w:left="567"/>
              <w:jc w:val="center"/>
              <w:spacing w:after="0" w:line="240" w:lineRule="auto"/>
              <w:widowControl w:val="off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0"/>
                <w:szCs w:val="24"/>
                <w:vertAlign w:val="superscript"/>
                <w:lang w:val="ru-RU"/>
              </w:rPr>
              <w:t xml:space="preserve">(серия и номер основного документа, удостоверяющего личность)</w:t>
            </w:r>
            <w:r>
              <w:rPr>
                <w:rFonts w:ascii="Times New Roman" w:hAnsi="Times New Roman"/>
                <w:lang w:val="ru-RU"/>
              </w:rPr>
            </w:r>
            <w:r>
              <w:rPr>
                <w:rFonts w:ascii="Times New Roman" w:hAnsi="Times New Roman"/>
                <w:lang w:val="ru-RU"/>
              </w:rPr>
            </w:r>
          </w:p>
          <w:p>
            <w:pPr>
              <w:pStyle w:val="1016"/>
              <w:ind w:left="567"/>
              <w:spacing w:after="0" w:line="240" w:lineRule="auto"/>
              <w:widowControl w:val="off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выданный___________________________________________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___________________</w:t>
            </w:r>
            <w:r>
              <w:rPr>
                <w:rFonts w:ascii="Times New Roman" w:hAnsi="Times New Roman"/>
                <w:lang w:val="ru-RU"/>
              </w:rPr>
            </w:r>
            <w:r>
              <w:rPr>
                <w:rFonts w:ascii="Times New Roman" w:hAnsi="Times New Roman"/>
                <w:lang w:val="ru-RU"/>
              </w:rPr>
            </w:r>
          </w:p>
          <w:p>
            <w:pPr>
              <w:pStyle w:val="1016"/>
              <w:ind w:left="567"/>
              <w:spacing w:after="0" w:line="240" w:lineRule="auto"/>
              <w:widowControl w:val="off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_______________________________________________________________________</w:t>
            </w:r>
            <w:r>
              <w:rPr>
                <w:rFonts w:ascii="Times New Roman" w:hAnsi="Times New Roman"/>
                <w:lang w:val="ru-RU"/>
              </w:rPr>
            </w:r>
            <w:r>
              <w:rPr>
                <w:rFonts w:ascii="Times New Roman" w:hAnsi="Times New Roman"/>
                <w:lang w:val="ru-RU"/>
              </w:rPr>
            </w:r>
          </w:p>
          <w:p>
            <w:pPr>
              <w:pStyle w:val="1016"/>
              <w:ind w:left="567"/>
              <w:jc w:val="center"/>
              <w:spacing w:after="0" w:line="240" w:lineRule="auto"/>
              <w:widowControl w:val="off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0"/>
                <w:szCs w:val="24"/>
                <w:vertAlign w:val="superscript"/>
                <w:lang w:val="ru-RU"/>
              </w:rPr>
              <w:t xml:space="preserve">(выдавший орган, код подразделения и дата выдачи)</w:t>
            </w:r>
            <w:r>
              <w:rPr>
                <w:rFonts w:ascii="Times New Roman" w:hAnsi="Times New Roman"/>
                <w:lang w:val="ru-RU"/>
              </w:rPr>
            </w:r>
            <w:r>
              <w:rPr>
                <w:rFonts w:ascii="Times New Roman" w:hAnsi="Times New Roman"/>
                <w:lang w:val="ru-RU"/>
              </w:rPr>
            </w:r>
          </w:p>
          <w:p>
            <w:pPr>
              <w:pStyle w:val="1016"/>
              <w:ind w:left="567"/>
              <w:spacing w:after="0" w:line="240" w:lineRule="auto"/>
              <w:widowControl w:val="off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(далее – «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Субъект персональных данных»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), настоящим дает свое согласие АО «Томскэнергосбыт» (далее – «Оператор»), з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арегистрированному по адресу: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634034, г. Томск, ул. Котовского, 19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на обработку своих персональных данных в соответствии с Федеральным законом от 27.07.2006 № 152-ФЗ «О персональных данных» и иными применимыми положениями законодательства Российской Федер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ации как описано ниже. </w:t>
            </w:r>
            <w:r>
              <w:rPr>
                <w:rFonts w:ascii="Times New Roman" w:hAnsi="Times New Roman"/>
                <w:lang w:val="ru-RU"/>
              </w:rPr>
            </w:r>
            <w:r>
              <w:rPr>
                <w:rFonts w:ascii="Times New Roman" w:hAnsi="Times New Roman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shd w:val="clear" w:color="ffffff" w:fill="ffffff"/>
            <w:tcW w:w="5000" w:type="pct"/>
            <w:textDirection w:val="lrTb"/>
            <w:noWrap w:val="false"/>
          </w:tcPr>
          <w:p>
            <w:pPr>
              <w:pStyle w:val="1015"/>
              <w:numPr>
                <w:ilvl w:val="0"/>
                <w:numId w:val="27"/>
              </w:numPr>
              <w:ind w:left="567" w:hanging="567"/>
              <w:keepLines/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  <w:t xml:space="preserve">Субъект персональных данных настоящим дает согласие на обработку указанных ниже персональных данных:</w:t>
            </w:r>
            <w:r>
              <w:rPr>
                <w:rFonts w:ascii="Times New Roman" w:hAnsi="Times New Roman"/>
                <w:lang w:val="ru-RU"/>
              </w:rPr>
            </w:r>
            <w:r>
              <w:rPr>
                <w:rFonts w:ascii="Times New Roman" w:hAnsi="Times New Roman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016"/>
              <w:numPr>
                <w:ilvl w:val="1"/>
                <w:numId w:val="27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фамилия, имя, отчество;</w:t>
            </w:r>
            <w:r>
              <w:rPr>
                <w:rFonts w:ascii="Times New Roman" w:hAnsi="Times New Roman"/>
                <w:lang w:val="ru-RU"/>
              </w:rPr>
            </w:r>
            <w:r>
              <w:rPr>
                <w:rFonts w:ascii="Times New Roman" w:hAnsi="Times New Roman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016"/>
              <w:numPr>
                <w:ilvl w:val="1"/>
                <w:numId w:val="27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идентификационный номер налогоплательщика;</w:t>
            </w:r>
            <w:r>
              <w:rPr>
                <w:rFonts w:ascii="Times New Roman" w:hAnsi="Times New Roman"/>
                <w:lang w:val="ru-RU"/>
              </w:rPr>
            </w:r>
            <w:r>
              <w:rPr>
                <w:rFonts w:ascii="Times New Roman" w:hAnsi="Times New Roman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016"/>
              <w:numPr>
                <w:ilvl w:val="1"/>
                <w:numId w:val="27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аспортные данные или данные иного документа, удостоверяющего личность (серия и номер, наименование органа, выдавшего документ, дата выдачи и код подразделения);</w:t>
            </w:r>
            <w:r>
              <w:rPr>
                <w:rFonts w:ascii="Times New Roman" w:hAnsi="Times New Roman"/>
                <w:lang w:val="ru-RU"/>
              </w:rPr>
            </w:r>
            <w:r>
              <w:rPr>
                <w:rFonts w:ascii="Times New Roman" w:hAnsi="Times New Roman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016"/>
              <w:numPr>
                <w:ilvl w:val="1"/>
                <w:numId w:val="27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адрес места жительства или временной регистрации;</w:t>
            </w:r>
            <w:r>
              <w:rPr>
                <w:rFonts w:ascii="Times New Roman" w:hAnsi="Times New Roman"/>
                <w:lang w:val="ru-RU"/>
              </w:rPr>
            </w:r>
            <w:r>
              <w:rPr>
                <w:rFonts w:ascii="Times New Roman" w:hAnsi="Times New Roman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016"/>
              <w:numPr>
                <w:ilvl w:val="1"/>
                <w:numId w:val="27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размер доли участия в уставном капитале хоз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яйственных обществ – если предоставляются данные в отношении доли участия в уставном капитале акционерного общества;</w:t>
            </w:r>
            <w:r>
              <w:rPr>
                <w:rFonts w:ascii="Times New Roman" w:hAnsi="Times New Roman"/>
                <w:lang w:val="ru-RU"/>
              </w:rPr>
            </w:r>
            <w:r>
              <w:rPr>
                <w:rFonts w:ascii="Times New Roman" w:hAnsi="Times New Roman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016"/>
              <w:spacing w:after="0" w:line="240" w:lineRule="auto"/>
              <w:widowControl w:val="off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далее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Персональные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данные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</w:r>
            <w:r>
              <w:rPr>
                <w:rFonts w:ascii="Times New Roman" w:hAnsi="Times New Roman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015"/>
              <w:numPr>
                <w:ilvl w:val="0"/>
                <w:numId w:val="27"/>
              </w:numPr>
              <w:ind w:left="567" w:hanging="567"/>
              <w:keepLines/>
              <w:spacing w:after="0" w:line="240" w:lineRule="auto"/>
              <w:rPr>
                <w:rFonts w:ascii="Times New Roman" w:hAnsi="Times New Roman"/>
                <w:lang w:val="ru-RU"/>
              </w:rPr>
            </w:pPr>
            <w:r/>
            <w:bookmarkStart w:id="1" w:name="_Ref69133461"/>
            <w:r/>
            <w:bookmarkStart w:id="2" w:name="_Hlk98944287"/>
            <w:r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  <w:t xml:space="preserve">Субъект персональных данных настоящим дает согласие на обработку своих Персональных </w:t>
            </w:r>
            <w:bookmarkEnd w:id="1"/>
            <w:r/>
            <w:bookmarkEnd w:id="2"/>
            <w:r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  <w:t xml:space="preserve">данных для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обеспечени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я прозрачности финансово-хозяйственной деятельности, в том числе исключения случаев конфликта интересов и иных злоупотреблений, связанных с занимаемой должностью</w:t>
            </w:r>
            <w:r>
              <w:rPr>
                <w:rFonts w:ascii="Times New Roman" w:hAnsi="Times New Roman"/>
                <w:smallCaps/>
                <w:sz w:val="24"/>
                <w:szCs w:val="24"/>
                <w:lang w:val="ru-RU"/>
              </w:rPr>
              <w:t xml:space="preserve">.</w:t>
            </w:r>
            <w:r>
              <w:rPr>
                <w:rFonts w:ascii="Times New Roman" w:hAnsi="Times New Roman"/>
                <w:lang w:val="ru-RU"/>
              </w:rPr>
            </w:r>
            <w:r>
              <w:rPr>
                <w:rFonts w:ascii="Times New Roman" w:hAnsi="Times New Roman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015"/>
              <w:numPr>
                <w:ilvl w:val="0"/>
                <w:numId w:val="27"/>
              </w:numPr>
              <w:ind w:left="567" w:hanging="567"/>
              <w:keepLines/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  <w:t xml:space="preserve">Субъект персональных данных настоящим дает согласие на осуществление следующих действий с ег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  <w:t xml:space="preserve">о/ ее Персональными данными:</w:t>
            </w:r>
            <w:r>
              <w:rPr>
                <w:rFonts w:ascii="Times New Roman" w:hAnsi="Times New Roman"/>
                <w:lang w:val="ru-RU"/>
              </w:rPr>
            </w:r>
            <w:r>
              <w:rPr>
                <w:rFonts w:ascii="Times New Roman" w:hAnsi="Times New Roman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016"/>
              <w:numPr>
                <w:ilvl w:val="1"/>
                <w:numId w:val="27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Обработка П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ерсональных данных, включающая в том числе, без ограничения: сбор, запись, систематизация, накопление, хранение, уточнение (обновление, изменение), извлечение, использование, обезличивание, блокирование, удаление, уничтожение.</w:t>
            </w:r>
            <w:r>
              <w:rPr>
                <w:rFonts w:ascii="Times New Roman" w:hAnsi="Times New Roman"/>
                <w:lang w:val="ru-RU"/>
              </w:rPr>
            </w:r>
            <w:r>
              <w:rPr>
                <w:rFonts w:ascii="Times New Roman" w:hAnsi="Times New Roman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016"/>
              <w:numPr>
                <w:ilvl w:val="1"/>
                <w:numId w:val="27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Передача (включая предоставление и доступ) третьим лицам Персональных данных в объеме, установленном настоящим документом, в том числе следующим лицам:</w:t>
            </w:r>
            <w:r>
              <w:rPr>
                <w:rFonts w:ascii="Times New Roman" w:hAnsi="Times New Roman"/>
                <w:lang w:val="ru-RU"/>
              </w:rPr>
            </w:r>
            <w:r>
              <w:rPr>
                <w:rFonts w:ascii="Times New Roman" w:hAnsi="Times New Roman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017"/>
              <w:ind w:left="567" w:hanging="567"/>
              <w:spacing w:after="0" w:line="240" w:lineRule="auto"/>
              <w:widowControl w:val="off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4.2.1 Общество с ограниченной ответственностью «Интер РАО – Информационные технологии», зарегистрирован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ное по адресу: 119435, г. Москва, ул. Большая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Пироговская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д. 27, стр. 3;</w:t>
            </w:r>
            <w:r>
              <w:rPr>
                <w:rFonts w:ascii="Times New Roman" w:hAnsi="Times New Roman"/>
                <w:lang w:val="ru-RU"/>
              </w:rPr>
            </w:r>
            <w:r>
              <w:rPr>
                <w:rFonts w:ascii="Times New Roman" w:hAnsi="Times New Roman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017"/>
              <w:ind w:left="567" w:hanging="567"/>
              <w:spacing w:after="0" w:line="240" w:lineRule="auto"/>
              <w:widowControl w:val="off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4.2.2 Публичное акционерное общество «Интер РАО ЕЭС», зарегистрированное по адресу: 119435, г. Москва, ул. Большая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Пироговская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д. 27, стр. 2;</w:t>
            </w:r>
            <w:r>
              <w:rPr>
                <w:rFonts w:ascii="Times New Roman" w:hAnsi="Times New Roman"/>
                <w:lang w:val="ru-RU"/>
              </w:rPr>
            </w:r>
            <w:r>
              <w:rPr>
                <w:rFonts w:ascii="Times New Roman" w:hAnsi="Times New Roman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017"/>
              <w:spacing w:after="0" w:line="240" w:lineRule="auto"/>
              <w:widowControl w:val="off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 целью, указанной в разделе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REF</w:instrTex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instrText xml:space="preserve"> _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Re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f</w:instrTex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instrText xml:space="preserve">69133461 \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r</w:instrTex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instrText xml:space="preserve"> \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h</w:instrTex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instrText xml:space="preserve">  \* 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MERGEFORMAT</w:instrTex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выше.</w:t>
            </w:r>
            <w:r>
              <w:rPr>
                <w:rFonts w:ascii="Times New Roman" w:hAnsi="Times New Roman"/>
                <w:lang w:val="ru-RU"/>
              </w:rPr>
            </w:r>
            <w:r>
              <w:rPr>
                <w:rFonts w:ascii="Times New Roman" w:hAnsi="Times New Roman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016"/>
              <w:numPr>
                <w:ilvl w:val="1"/>
                <w:numId w:val="27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Предоставление третьим лицам полномочий на обработку Персональных данных в объеме, установленном настоящим документом, в том числе следующим лицам:</w:t>
            </w:r>
            <w:r>
              <w:rPr>
                <w:rFonts w:ascii="Times New Roman" w:hAnsi="Times New Roman"/>
                <w:lang w:val="ru-RU"/>
              </w:rPr>
            </w:r>
            <w:r>
              <w:rPr>
                <w:rFonts w:ascii="Times New Roman" w:hAnsi="Times New Roman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017"/>
              <w:ind w:left="567" w:hanging="567"/>
              <w:spacing w:after="0" w:line="240" w:lineRule="auto"/>
              <w:widowControl w:val="off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4.3.1 Общество с ограниченной ответственностью «Интер РАО – Центр управления закупками», зарегистрированное по адресу: 119435, г. Москва, ул. Большая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Пироговская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д. 27, стр. 3;</w:t>
            </w:r>
            <w:r>
              <w:rPr>
                <w:rFonts w:ascii="Times New Roman" w:hAnsi="Times New Roman"/>
                <w:lang w:val="ru-RU"/>
              </w:rPr>
            </w:r>
            <w:r>
              <w:rPr>
                <w:rFonts w:ascii="Times New Roman" w:hAnsi="Times New Roman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018"/>
              <w:ind w:left="567" w:hanging="567"/>
              <w:spacing w:after="0" w:line="240" w:lineRule="auto"/>
              <w:widowControl w:val="off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 целью, указанной в разделе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REF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instrText xml:space="preserve"> _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Ref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instrText xml:space="preserve">69133461 \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r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instrText xml:space="preserve"> \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h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instrText xml:space="preserve">  \*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MERGEFORMAT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выше.</w:t>
            </w:r>
            <w:r>
              <w:rPr>
                <w:rFonts w:ascii="Times New Roman" w:hAnsi="Times New Roman" w:cs="Times New Roman"/>
                <w:lang w:val="ru-RU"/>
              </w:rPr>
            </w:r>
            <w:r>
              <w:rPr>
                <w:rFonts w:ascii="Times New Roman" w:hAnsi="Times New Roman" w:cs="Times New Roman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shd w:val="clear" w:color="ffffff" w:fill="ffffff"/>
            <w:tcW w:w="5000" w:type="pct"/>
            <w:textDirection w:val="lrTb"/>
            <w:noWrap w:val="false"/>
          </w:tcPr>
          <w:p>
            <w:pPr>
              <w:pStyle w:val="1016"/>
              <w:numPr>
                <w:ilvl w:val="1"/>
                <w:numId w:val="27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Снятие копий, хранение копий документов, содержащих Персональные данные, предъявленных Субъектом персональных данных Оператору.</w:t>
            </w:r>
            <w:r>
              <w:rPr>
                <w:rFonts w:ascii="Times New Roman" w:hAnsi="Times New Roman"/>
                <w:lang w:val="ru-RU"/>
              </w:rPr>
            </w:r>
            <w:r>
              <w:rPr>
                <w:rFonts w:ascii="Times New Roman" w:hAnsi="Times New Roman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015"/>
              <w:numPr>
                <w:ilvl w:val="0"/>
                <w:numId w:val="27"/>
              </w:numPr>
              <w:ind w:left="567" w:hanging="567"/>
              <w:keepLines/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b/>
                <w:bCs/>
                <w:smallCaps/>
                <w:sz w:val="24"/>
                <w:szCs w:val="24"/>
                <w:lang w:val="ru-RU"/>
              </w:rPr>
              <w:t xml:space="preserve">Общее описание способов обработки персональных данных, которые использует Оператор</w:t>
            </w:r>
            <w:r>
              <w:rPr>
                <w:rFonts w:ascii="Times New Roman" w:hAnsi="Times New Roman"/>
                <w:lang w:val="ru-RU"/>
              </w:rPr>
            </w:r>
            <w:r>
              <w:rPr>
                <w:rFonts w:ascii="Times New Roman" w:hAnsi="Times New Roman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018"/>
              <w:ind w:left="601"/>
              <w:spacing w:after="0" w:line="240" w:lineRule="auto"/>
              <w:widowControl w:val="off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Оператор осуществляет обработку Персональных данных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смешанным способом, с использованием средств автоматизации и без использования средств автоматизации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используя методы 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бработки информации, которые обеспечивают безопасность Персональных данных.</w:t>
            </w:r>
            <w:r>
              <w:rPr>
                <w:rFonts w:ascii="Times New Roman" w:hAnsi="Times New Roman" w:cs="Times New Roman"/>
                <w:lang w:val="ru-RU"/>
              </w:rPr>
            </w:r>
            <w:r>
              <w:rPr>
                <w:rFonts w:ascii="Times New Roman" w:hAnsi="Times New Roman" w:cs="Times New Roman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015"/>
              <w:numPr>
                <w:ilvl w:val="0"/>
                <w:numId w:val="27"/>
              </w:numPr>
              <w:ind w:left="567" w:hanging="567"/>
              <w:keepLines/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b/>
                <w:bCs/>
                <w:smallCaps/>
                <w:sz w:val="24"/>
                <w:szCs w:val="24"/>
                <w:lang w:val="ru-RU"/>
              </w:rPr>
              <w:t xml:space="preserve">Срок действия, процедура отзыва согласия</w:t>
            </w:r>
            <w:r>
              <w:rPr>
                <w:rFonts w:ascii="Times New Roman" w:hAnsi="Times New Roman"/>
                <w:lang w:val="ru-RU"/>
              </w:rPr>
            </w:r>
            <w:r>
              <w:rPr>
                <w:rFonts w:ascii="Times New Roman" w:hAnsi="Times New Roman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016"/>
              <w:numPr>
                <w:ilvl w:val="1"/>
                <w:numId w:val="27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Оператор имеет право на обработку Персональных данных Субъекта персональных данных в течение 1 (одного) года.</w:t>
            </w:r>
            <w:r>
              <w:rPr>
                <w:rFonts w:ascii="Times New Roman" w:hAnsi="Times New Roman"/>
                <w:lang w:val="ru-RU"/>
              </w:rPr>
            </w:r>
            <w:r>
              <w:rPr>
                <w:rFonts w:ascii="Times New Roman" w:hAnsi="Times New Roman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016"/>
              <w:numPr>
                <w:ilvl w:val="1"/>
                <w:numId w:val="27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Субъект персональных данных понимает и соглашается, что обработка Персональных данных на условиях настоящего согласия не ущемляет его/ ее в правах и иначе не нарушает его/ ее права согласно законодательству Российской Федерации. </w:t>
            </w:r>
            <w:r>
              <w:rPr>
                <w:rFonts w:ascii="Times New Roman" w:hAnsi="Times New Roman"/>
                <w:lang w:val="ru-RU"/>
              </w:rPr>
            </w:r>
            <w:r>
              <w:rPr>
                <w:rFonts w:ascii="Times New Roman" w:hAnsi="Times New Roman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016"/>
              <w:numPr>
                <w:ilvl w:val="1"/>
                <w:numId w:val="27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Субъект персональных данн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ых подтверждает, что он уведомлен о том, что такое согласие может быть в любой момент отозвано на основании запроса, отправленного на имя Оператора, и Оператор обязан в таком случае прекратить обработку Персональных данных, если иного не требует применимое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законодательство.</w:t>
            </w:r>
            <w:r>
              <w:rPr>
                <w:rFonts w:ascii="Times New Roman" w:hAnsi="Times New Roman"/>
                <w:lang w:val="ru-RU"/>
              </w:rPr>
            </w:r>
            <w:r>
              <w:rPr>
                <w:rFonts w:ascii="Times New Roman" w:hAnsi="Times New Roman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016"/>
              <w:numPr>
                <w:ilvl w:val="1"/>
                <w:numId w:val="27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Субъект персональных данных подтверждает, что он уведомлен о том,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условий, предусмотренных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ч. 2 ст. 9 Федерального закона «О персональных данных», в течение сроков, предусмотренных законом. </w:t>
            </w:r>
            <w:r>
              <w:rPr>
                <w:rFonts w:ascii="Times New Roman" w:hAnsi="Times New Roman"/>
                <w:lang w:val="ru-RU"/>
              </w:rPr>
            </w:r>
            <w:r>
              <w:rPr>
                <w:rFonts w:ascii="Times New Roman" w:hAnsi="Times New Roman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016"/>
              <w:numPr>
                <w:ilvl w:val="1"/>
                <w:numId w:val="27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Субъект персональных данных подтверждает, что он ознакомился с условиями защиты персональных данных, правами и обязанностями в сфере защиты персональных д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анных.</w:t>
            </w:r>
            <w:r>
              <w:rPr>
                <w:rFonts w:ascii="Times New Roman" w:hAnsi="Times New Roman"/>
                <w:lang w:val="ru-RU"/>
              </w:rPr>
            </w:r>
            <w:r>
              <w:rPr>
                <w:rFonts w:ascii="Times New Roman" w:hAnsi="Times New Roman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tcW w:w="2035" w:type="pct"/>
            <w:textDirection w:val="lrTb"/>
            <w:noWrap w:val="false"/>
          </w:tcPr>
          <w:p>
            <w:r/>
            <w:r/>
          </w:p>
        </w:tc>
        <w:tc>
          <w:tcPr>
            <w:tcW w:w="2965" w:type="pct"/>
            <w:textDirection w:val="lrTb"/>
            <w:noWrap w:val="false"/>
          </w:tcPr>
          <w:p>
            <w:pPr>
              <w:pStyle w:val="1016"/>
              <w:jc w:val="right"/>
              <w:spacing w:after="0" w:line="240" w:lineRule="auto"/>
              <w:widowControl w:val="off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</w:r>
            <w:r>
              <w:rPr>
                <w:rFonts w:ascii="Times New Roman" w:hAnsi="Times New Roman"/>
                <w:lang w:val="ru-RU"/>
              </w:rPr>
            </w:r>
            <w:r>
              <w:rPr>
                <w:rFonts w:ascii="Times New Roman" w:hAnsi="Times New Roman"/>
                <w:lang w:val="ru-RU"/>
              </w:rPr>
            </w:r>
          </w:p>
          <w:p>
            <w:pPr>
              <w:pStyle w:val="1016"/>
              <w:jc w:val="right"/>
              <w:spacing w:after="0" w:line="240" w:lineRule="auto"/>
              <w:widowControl w:val="off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____________________________________________ </w:t>
            </w:r>
            <w:r>
              <w:rPr>
                <w:rFonts w:ascii="Times New Roman" w:hAnsi="Times New Roman"/>
                <w:lang w:val="ru-RU"/>
              </w:rPr>
            </w:r>
            <w:r>
              <w:rPr>
                <w:rFonts w:ascii="Times New Roman" w:hAnsi="Times New Roman"/>
                <w:lang w:val="ru-RU"/>
              </w:rPr>
            </w:r>
          </w:p>
          <w:p>
            <w:pPr>
              <w:pStyle w:val="1016"/>
              <w:jc w:val="center"/>
              <w:spacing w:after="0" w:line="240" w:lineRule="auto"/>
              <w:widowControl w:val="off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0"/>
                <w:szCs w:val="24"/>
                <w:vertAlign w:val="superscript"/>
                <w:lang w:val="ru-RU"/>
              </w:rPr>
              <w:t xml:space="preserve">(личная подпись Субъекта персональных данных )                </w:t>
            </w:r>
            <w:r>
              <w:rPr>
                <w:rFonts w:ascii="Times New Roman" w:hAnsi="Times New Roman"/>
                <w:lang w:val="ru-RU"/>
              </w:rPr>
            </w:r>
            <w:r>
              <w:rPr>
                <w:rFonts w:ascii="Times New Roman" w:hAnsi="Times New Roman"/>
                <w:lang w:val="ru-RU"/>
              </w:rPr>
            </w:r>
          </w:p>
        </w:tc>
      </w:tr>
    </w:tbl>
    <w:p>
      <w:r/>
      <w:r/>
    </w:p>
    <w:sectPr>
      <w:footnotePr/>
      <w:endnotePr/>
      <w:type w:val="nextPage"/>
      <w:pgSz w:w="11901" w:h="16840" w:orient="portrait"/>
      <w:pgMar w:top="851" w:right="851" w:bottom="851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alibri">
    <w:panose1 w:val="020F0502020204030204"/>
  </w:font>
  <w:font w:name="Verdana">
    <w:panose1 w:val="020B0604030504040204"/>
  </w:font>
  <w:font w:name="Tahoma">
    <w:panose1 w:val="020B0604030504040204"/>
  </w:font>
  <w:font w:name="Courier New">
    <w:panose1 w:val="02070309020205020404"/>
  </w:font>
  <w:font w:name="Cambria">
    <w:panose1 w:val="02040803050406030204"/>
  </w:font>
  <w:font w:name="Times New Roman">
    <w:panose1 w:val="02020603050405020304"/>
  </w:font>
  <w:font w:name="Arial Unicode MS">
    <w:panose1 w:val="020B060402020202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4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4"/>
      <w:rPr>
        <w:rStyle w:val="966"/>
      </w:rPr>
      <w:framePr w:wrap="around" w:vAnchor="text" w:hAnchor="margin" w:xAlign="right" w:y="1"/>
    </w:pPr>
    <w:r>
      <w:rPr>
        <w:rStyle w:val="966"/>
      </w:rPr>
      <w:fldChar w:fldCharType="begin"/>
    </w:r>
    <w:r>
      <w:rPr>
        <w:rStyle w:val="966"/>
      </w:rPr>
      <w:instrText xml:space="preserve">PAGE  </w:instrText>
    </w:r>
    <w:r>
      <w:rPr>
        <w:rStyle w:val="966"/>
      </w:rPr>
      <w:fldChar w:fldCharType="end"/>
    </w:r>
    <w:r>
      <w:rPr>
        <w:rStyle w:val="966"/>
      </w:rPr>
    </w:r>
    <w:r>
      <w:rPr>
        <w:rStyle w:val="966"/>
      </w:rPr>
    </w:r>
  </w:p>
  <w:p>
    <w:pPr>
      <w:pStyle w:val="964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587184441"/>
      <w:docPartObj>
        <w:docPartGallery w:val="Page Numbers (Top of Page)"/>
        <w:docPartUnique w:val="true"/>
      </w:docPartObj>
      <w:rPr/>
    </w:sdtPr>
    <w:sdtContent>
      <w:p>
        <w:pPr>
          <w:pStyle w:val="97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17</w:t>
        </w:r>
        <w:r>
          <w:fldChar w:fldCharType="end"/>
        </w:r>
        <w:r/>
      </w:p>
    </w:sdtContent>
  </w:sdt>
  <w:p>
    <w:pPr>
      <w:pStyle w:val="974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  <w:tabs>
          <w:tab w:val="num" w:pos="216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80" w:hanging="720"/>
        <w:tabs>
          <w:tab w:val="num" w:pos="288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60" w:hanging="1080"/>
        <w:tabs>
          <w:tab w:val="num" w:pos="396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80" w:hanging="1080"/>
        <w:tabs>
          <w:tab w:val="num" w:pos="46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400" w:hanging="1080"/>
        <w:tabs>
          <w:tab w:val="num" w:pos="540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80" w:hanging="1440"/>
        <w:tabs>
          <w:tab w:val="num" w:pos="64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200" w:hanging="1440"/>
        <w:tabs>
          <w:tab w:val="num" w:pos="7200" w:leader="none"/>
        </w:tabs>
      </w:pPr>
      <w:rPr>
        <w:rFonts w:hint="default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  <w:tabs>
          <w:tab w:val="num" w:pos="1287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  <w:tabs>
          <w:tab w:val="num" w:pos="2007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  <w:tabs>
          <w:tab w:val="num" w:pos="2727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  <w:tabs>
          <w:tab w:val="num" w:pos="3447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  <w:tabs>
          <w:tab w:val="num" w:pos="4167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  <w:tabs>
          <w:tab w:val="num" w:pos="4887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  <w:tabs>
          <w:tab w:val="num" w:pos="5607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  <w:tabs>
          <w:tab w:val="num" w:pos="6327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  <w:tabs>
          <w:tab w:val="num" w:pos="7047" w:leader="none"/>
        </w:tabs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80" w:hanging="360"/>
        <w:tabs>
          <w:tab w:val="num" w:pos="1080" w:leader="none"/>
        </w:tabs>
      </w:pPr>
      <w:rPr>
        <w:rFonts w:hint="default"/>
        <w:b w:val="0"/>
        <w:i w:val="0"/>
        <w:sz w:val="26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  <w:tabs>
          <w:tab w:val="num" w:pos="216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80" w:hanging="720"/>
        <w:tabs>
          <w:tab w:val="num" w:pos="288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60" w:hanging="1080"/>
        <w:tabs>
          <w:tab w:val="num" w:pos="396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80" w:hanging="1080"/>
        <w:tabs>
          <w:tab w:val="num" w:pos="46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60" w:hanging="1440"/>
        <w:tabs>
          <w:tab w:val="num" w:pos="57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80" w:hanging="1440"/>
        <w:tabs>
          <w:tab w:val="num" w:pos="64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60" w:hanging="1800"/>
        <w:tabs>
          <w:tab w:val="num" w:pos="7560" w:leader="none"/>
        </w:tabs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b/>
        <w:sz w:val="26"/>
        <w:szCs w:val="26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792" w:leader="none"/>
        </w:tabs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144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  <w:tabs>
          <w:tab w:val="num" w:pos="1287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  <w:tabs>
          <w:tab w:val="num" w:pos="2007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  <w:tabs>
          <w:tab w:val="num" w:pos="2727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  <w:tabs>
          <w:tab w:val="num" w:pos="3447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  <w:tabs>
          <w:tab w:val="num" w:pos="4167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  <w:tabs>
          <w:tab w:val="num" w:pos="4887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  <w:tabs>
          <w:tab w:val="num" w:pos="5607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  <w:tabs>
          <w:tab w:val="num" w:pos="6327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  <w:tabs>
          <w:tab w:val="num" w:pos="7047" w:leader="none"/>
        </w:tabs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561" w:hanging="113"/>
        <w:tabs>
          <w:tab w:val="num" w:pos="2561" w:leader="none"/>
        </w:tabs>
      </w:pPr>
      <w:rPr>
        <w:rFonts w:hint="default" w:ascii="Symbol" w:hAnsi="Symbol"/>
      </w:rPr>
    </w:lvl>
    <w:lvl w:ilvl="1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2448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2448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2448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2448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2448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2448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2448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2448" w:leader="none"/>
        </w:tabs>
      </w:pPr>
    </w:lvl>
  </w:abstractNum>
  <w:abstractNum w:abstractNumId="7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3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211" w:hanging="360"/>
      </w:pPr>
      <w:rPr>
        <w:rFonts w:hint="default" w:ascii="Times New Roman" w:hAnsi="Times New Roman" w:eastAsia="Times New Roman" w:cs="Times New Roman"/>
        <w:i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71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31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"/>
      <w:lvlJc w:val="left"/>
      <w:pPr>
        <w:ind w:left="6327" w:hanging="360"/>
      </w:pPr>
      <w:rPr>
        <w:rFonts w:hint="default" w:ascii="Symbol" w:hAnsi="Symbol"/>
        <w:color w:val="auto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2"/>
      <w:numFmt w:val="lowerLetter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2">
    <w:multiLevelType w:val="hybridMultilevel"/>
    <w:lvl w:ilvl="0">
      <w:start w:val="4"/>
      <w:numFmt w:val="lowerLetter"/>
      <w:isLgl w:val="false"/>
      <w:suff w:val="tab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13">
    <w:multiLevelType w:val="hybridMultilevel"/>
    <w:lvl w:ilvl="0">
      <w:start w:val="11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isLgl w:val="false"/>
      <w:suff w:val="tab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567" w:hanging="113"/>
        <w:tabs>
          <w:tab w:val="num" w:pos="567" w:leader="none"/>
        </w:tabs>
      </w:pPr>
      <w:rPr>
        <w:rFonts w:hint="default" w:ascii="Symbol" w:hAnsi="Symbol"/>
      </w:rPr>
    </w:lvl>
    <w:lvl w:ilvl="1">
      <w:start w:val="2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hint="default"/>
        <w:b/>
        <w:i w:val="0"/>
        <w:color w:val="auto"/>
      </w:rPr>
    </w:lvl>
    <w:lvl w:ilvl="2">
      <w:start w:val="2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  <w:rPr>
        <w:rFonts w:hint="default"/>
        <w:b/>
        <w:i w:val="0"/>
        <w:color w:val="auto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  <w:tabs>
          <w:tab w:val="num" w:pos="709" w:leader="none"/>
        </w:tabs>
      </w:pPr>
      <w:rPr>
        <w:rFonts w:hint="default"/>
        <w:b w:val="0"/>
      </w:rPr>
    </w:lvl>
    <w:lvl w:ilvl="1">
      <w:start w:val="1"/>
      <w:numFmt w:val="decimal"/>
      <w:isLgl w:val="false"/>
      <w:suff w:val="tab"/>
      <w:lvlText w:val="%1.%2"/>
      <w:lvlJc w:val="left"/>
      <w:pPr>
        <w:ind w:left="0" w:firstLine="709"/>
        <w:tabs>
          <w:tab w:val="num" w:pos="709" w:leader="none"/>
        </w:tabs>
      </w:pPr>
      <w:rPr>
        <w:rFonts w:hint="default"/>
        <w:lang w:val="ru-RU"/>
      </w:rPr>
    </w:lvl>
    <w:lvl w:ilvl="2">
      <w:start w:val="1"/>
      <w:numFmt w:val="bullet"/>
      <w:isLgl w:val="false"/>
      <w:suff w:val="tab"/>
      <w:lvlText w:val=""/>
      <w:lvlJc w:val="left"/>
      <w:pPr>
        <w:ind w:left="0" w:firstLine="709"/>
        <w:tabs>
          <w:tab w:val="num" w:pos="709" w:leader="none"/>
        </w:tabs>
      </w:pPr>
      <w:rPr>
        <w:rFonts w:hint="default" w:ascii="Symbol" w:hAnsi="Symbol"/>
        <w:color w:val="auto"/>
      </w:rPr>
    </w:lvl>
    <w:lvl w:ilvl="3">
      <w:start w:val="1"/>
      <w:numFmt w:val="lowerRoman"/>
      <w:isLgl w:val="false"/>
      <w:suff w:val="tab"/>
      <w:lvlText w:val="(%4)"/>
      <w:lvlJc w:val="left"/>
      <w:pPr>
        <w:ind w:left="2126" w:hanging="708"/>
        <w:tabs>
          <w:tab w:val="num" w:pos="2126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(%5)"/>
      <w:lvlJc w:val="left"/>
      <w:pPr>
        <w:ind w:left="2268" w:hanging="142"/>
        <w:tabs>
          <w:tab w:val="num" w:pos="2268" w:leader="none"/>
        </w:tabs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  <w:tabs>
          <w:tab w:val="num" w:pos="21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  <w:tabs>
          <w:tab w:val="num" w:pos="2520" w:leader="none"/>
        </w:tabs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  <w:tabs>
          <w:tab w:val="num" w:pos="2880" w:leader="none"/>
        </w:tabs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  <w:tabs>
          <w:tab w:val="num" w:pos="3240" w:leader="none"/>
        </w:tabs>
      </w:pPr>
      <w:rPr>
        <w:rFonts w:hint="default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b/>
        <w:sz w:val="26"/>
        <w:szCs w:val="26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792" w:leader="none"/>
        </w:tabs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144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b/>
        <w:sz w:val="26"/>
        <w:szCs w:val="26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792" w:leader="none"/>
        </w:tabs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144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89" w:hanging="360"/>
        <w:tabs>
          <w:tab w:val="num" w:pos="1789" w:leader="none"/>
        </w:tabs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pStyle w:val="780"/>
      <w:isLgl/>
      <w:suff w:val="tab"/>
      <w:lvlText w:val="Статья %1."/>
      <w:lvlJc w:val="left"/>
      <w:pPr>
        <w:ind w:left="49" w:firstLine="851"/>
        <w:tabs>
          <w:tab w:val="num" w:pos="2317" w:leader="none"/>
        </w:tabs>
      </w:pPr>
      <w:rPr>
        <w:rFonts w:hint="default" w:ascii="Verdana" w:hAnsi="Verdana"/>
        <w:sz w:val="20"/>
        <w:szCs w:val="20"/>
      </w:rPr>
    </w:lvl>
    <w:lvl w:ilvl="1">
      <w:start w:val="1"/>
      <w:numFmt w:val="decimal"/>
      <w:isLgl/>
      <w:suff w:val="tab"/>
      <w:lvlText w:val="%1.%2."/>
      <w:lvlJc w:val="left"/>
      <w:pPr>
        <w:ind w:left="851" w:hanging="851"/>
        <w:tabs>
          <w:tab w:val="num" w:pos="284" w:leader="none"/>
        </w:tabs>
      </w:pPr>
      <w:rPr>
        <w:rFonts w:hint="default" w:ascii="Verdana" w:hAnsi="Verdana"/>
        <w:b/>
        <w:i w:val="0"/>
        <w:sz w:val="20"/>
        <w:szCs w:val="2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851" w:hanging="851"/>
        <w:tabs>
          <w:tab w:val="num" w:pos="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172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232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5%1.%2.%3.%4..%6."/>
      <w:lvlJc w:val="left"/>
      <w:pPr>
        <w:ind w:left="2736" w:hanging="936"/>
        <w:tabs>
          <w:tab w:val="num" w:pos="2736" w:leader="none"/>
        </w:tabs>
      </w:pPr>
      <w:rPr>
        <w:rFonts w:hint="default"/>
      </w:rPr>
    </w:lvl>
    <w:lvl w:ilvl="6">
      <w:start w:val="1"/>
      <w:numFmt w:val="decimal"/>
      <w:lvlRestart w:val="0"/>
      <w:isLgl w:val="false"/>
      <w:suff w:val="tab"/>
      <w:lvlText w:val="%1.%2.%3.%4.%5.%6.%7."/>
      <w:lvlJc w:val="left"/>
      <w:pPr>
        <w:ind w:left="3240" w:hanging="1080"/>
        <w:tabs>
          <w:tab w:val="num" w:pos="32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3744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  <w:tabs>
          <w:tab w:val="num" w:pos="2124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0" w:firstLine="0"/>
        <w:tabs>
          <w:tab w:val="num" w:pos="2124" w:leader="none"/>
        </w:tabs>
      </w:pPr>
      <w:rPr>
        <w:color w:val="548dd4"/>
      </w:rPr>
    </w:lvl>
    <w:lvl w:ilvl="2">
      <w:start w:val="1"/>
      <w:numFmt w:val="decimal"/>
      <w:isLgl w:val="false"/>
      <w:suff w:val="tab"/>
      <w:lvlText w:val="%1.%2.%3"/>
      <w:lvlJc w:val="left"/>
      <w:pPr>
        <w:ind w:left="0" w:firstLine="0"/>
        <w:tabs>
          <w:tab w:val="num" w:pos="2124" w:leader="none"/>
        </w:tabs>
      </w:pPr>
      <w:rPr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77" w:hanging="720"/>
        <w:tabs>
          <w:tab w:val="num" w:pos="227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637" w:hanging="1080"/>
        <w:tabs>
          <w:tab w:val="num" w:pos="2637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637" w:hanging="1080"/>
        <w:tabs>
          <w:tab w:val="num" w:pos="2637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997" w:hanging="1440"/>
        <w:tabs>
          <w:tab w:val="num" w:pos="2997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997" w:hanging="1440"/>
        <w:tabs>
          <w:tab w:val="num" w:pos="2997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357" w:hanging="1800"/>
        <w:tabs>
          <w:tab w:val="num" w:pos="3357" w:leader="none"/>
        </w:tabs>
      </w:pPr>
    </w:lvl>
  </w:abstractNum>
  <w:abstractNum w:abstractNumId="21">
    <w:multiLevelType w:val="hybridMultilevel"/>
    <w:lvl w:ilvl="0">
      <w:start w:val="3"/>
      <w:numFmt w:val="lowerLetter"/>
      <w:isLgl w:val="false"/>
      <w:suff w:val="tab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22">
    <w:multiLevelType w:val="hybridMultilevel"/>
    <w:lvl w:ilvl="0">
      <w:start w:val="7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3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4"/>
      <w:numFmt w:val="decimal"/>
      <w:isLgl w:val="false"/>
      <w:suff w:val="tab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2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  <w:b/>
        <w:sz w:val="26"/>
        <w:szCs w:val="26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b/>
        <w:sz w:val="26"/>
        <w:szCs w:val="26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792" w:leader="none"/>
        </w:tabs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144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decimal"/>
      <w:pStyle w:val="1011"/>
      <w:isLgl w:val="false"/>
      <w:suff w:val="tab"/>
      <w:lvlText w:val="%1."/>
      <w:lvlJc w:val="left"/>
      <w:pPr>
        <w:ind w:left="993" w:firstLine="709"/>
        <w:tabs>
          <w:tab w:val="num" w:pos="2127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decimal"/>
      <w:pStyle w:val="1012"/>
      <w:isLgl w:val="false"/>
      <w:suff w:val="tab"/>
      <w:lvlText w:val="%1.%2."/>
      <w:lvlJc w:val="left"/>
      <w:pPr>
        <w:ind w:left="284" w:firstLine="709"/>
        <w:tabs>
          <w:tab w:val="num" w:pos="1560" w:leader="none"/>
        </w:tabs>
      </w:pPr>
      <w:rPr>
        <w:rFonts w:hint="default"/>
      </w:rPr>
    </w:lvl>
    <w:lvl w:ilvl="2">
      <w:start w:val="1"/>
      <w:numFmt w:val="decimal"/>
      <w:pStyle w:val="1013"/>
      <w:isLgl w:val="false"/>
      <w:suff w:val="tab"/>
      <w:lvlText w:val="%1.%2.%3."/>
      <w:lvlJc w:val="left"/>
      <w:pPr>
        <w:ind w:left="993" w:firstLine="709"/>
        <w:tabs>
          <w:tab w:val="num" w:pos="2411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430" w:hanging="648"/>
        <w:tabs>
          <w:tab w:val="num" w:pos="3862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34" w:hanging="792"/>
        <w:tabs>
          <w:tab w:val="num" w:pos="4222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438" w:hanging="936"/>
        <w:tabs>
          <w:tab w:val="num" w:pos="494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942" w:hanging="1080"/>
        <w:tabs>
          <w:tab w:val="num" w:pos="530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46" w:hanging="1224"/>
        <w:tabs>
          <w:tab w:val="num" w:pos="6022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022" w:hanging="1440"/>
        <w:tabs>
          <w:tab w:val="num" w:pos="6382" w:leader="none"/>
        </w:tabs>
      </w:pPr>
      <w:rPr>
        <w:rFonts w:hint="default"/>
      </w:rPr>
    </w:lvl>
  </w:abstractNum>
  <w:abstractNum w:abstractNumId="29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4"/>
      <w:numFmt w:val="decimal"/>
      <w:isLgl w:val="false"/>
      <w:suff w:val="tab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num w:numId="1">
    <w:abstractNumId w:val="4"/>
  </w:num>
  <w:num w:numId="2">
    <w:abstractNumId w:val="25"/>
  </w:num>
  <w:num w:numId="3">
    <w:abstractNumId w:val="2"/>
  </w:num>
  <w:num w:numId="4">
    <w:abstractNumId w:val="27"/>
  </w:num>
  <w:num w:numId="5">
    <w:abstractNumId w:val="0"/>
  </w:num>
  <w:num w:numId="6">
    <w:abstractNumId w:val="19"/>
  </w:num>
  <w:num w:numId="7">
    <w:abstractNumId w:val="23"/>
  </w:num>
  <w:num w:numId="8">
    <w:abstractNumId w:val="5"/>
  </w:num>
  <w:num w:numId="9">
    <w:abstractNumId w:val="18"/>
  </w:num>
  <w:num w:numId="10">
    <w:abstractNumId w:val="22"/>
  </w:num>
  <w:num w:numId="11">
    <w:abstractNumId w:val="13"/>
  </w:num>
  <w:num w:numId="12">
    <w:abstractNumId w:val="10"/>
  </w:num>
  <w:num w:numId="13">
    <w:abstractNumId w:val="9"/>
  </w:num>
  <w:num w:numId="14">
    <w:abstractNumId w:val="7"/>
  </w:num>
  <w:num w:numId="15">
    <w:abstractNumId w:val="26"/>
  </w:num>
  <w:num w:numId="16">
    <w:abstractNumId w:val="24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8"/>
  </w:num>
  <w:num w:numId="20">
    <w:abstractNumId w:val="14"/>
  </w:num>
  <w:num w:numId="21">
    <w:abstractNumId w:val="28"/>
  </w:num>
  <w:num w:numId="22">
    <w:abstractNumId w:val="21"/>
  </w:num>
  <w:num w:numId="23">
    <w:abstractNumId w:val="12"/>
  </w:num>
  <w:num w:numId="24">
    <w:abstractNumId w:val="11"/>
  </w:num>
  <w:num w:numId="25">
    <w:abstractNumId w:val="17"/>
  </w:num>
  <w:num w:numId="26">
    <w:abstractNumId w:val="3"/>
  </w:num>
  <w:num w:numId="27">
    <w:abstractNumId w:val="15"/>
  </w:num>
  <w:num w:numId="28">
    <w:abstractNumId w:val="1"/>
  </w:num>
  <w:num w:numId="29">
    <w:abstractNumId w:val="16"/>
  </w:num>
  <w:num w:numId="3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66">
    <w:name w:val="Heading 2 Char"/>
    <w:basedOn w:val="787"/>
    <w:link w:val="779"/>
    <w:uiPriority w:val="9"/>
    <w:rPr>
      <w:rFonts w:ascii="Arial" w:hAnsi="Arial" w:eastAsia="Arial" w:cs="Arial"/>
      <w:sz w:val="34"/>
    </w:rPr>
  </w:style>
  <w:style w:type="character" w:styleId="767">
    <w:name w:val="Heading 4 Char"/>
    <w:basedOn w:val="787"/>
    <w:link w:val="781"/>
    <w:uiPriority w:val="9"/>
    <w:rPr>
      <w:rFonts w:ascii="Arial" w:hAnsi="Arial" w:eastAsia="Arial" w:cs="Arial"/>
      <w:b/>
      <w:bCs/>
      <w:sz w:val="26"/>
      <w:szCs w:val="26"/>
    </w:rPr>
  </w:style>
  <w:style w:type="character" w:styleId="768">
    <w:name w:val="Heading 5 Char"/>
    <w:basedOn w:val="787"/>
    <w:link w:val="782"/>
    <w:uiPriority w:val="9"/>
    <w:rPr>
      <w:rFonts w:ascii="Arial" w:hAnsi="Arial" w:eastAsia="Arial" w:cs="Arial"/>
      <w:b/>
      <w:bCs/>
      <w:sz w:val="24"/>
      <w:szCs w:val="24"/>
    </w:rPr>
  </w:style>
  <w:style w:type="character" w:styleId="769">
    <w:name w:val="Heading 6 Char"/>
    <w:basedOn w:val="787"/>
    <w:link w:val="783"/>
    <w:uiPriority w:val="9"/>
    <w:rPr>
      <w:rFonts w:ascii="Arial" w:hAnsi="Arial" w:eastAsia="Arial" w:cs="Arial"/>
      <w:b/>
      <w:bCs/>
      <w:sz w:val="22"/>
      <w:szCs w:val="22"/>
    </w:rPr>
  </w:style>
  <w:style w:type="character" w:styleId="770">
    <w:name w:val="Heading 7 Char"/>
    <w:basedOn w:val="787"/>
    <w:link w:val="78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71">
    <w:name w:val="Heading 8 Char"/>
    <w:basedOn w:val="787"/>
    <w:link w:val="785"/>
    <w:uiPriority w:val="9"/>
    <w:rPr>
      <w:rFonts w:ascii="Arial" w:hAnsi="Arial" w:eastAsia="Arial" w:cs="Arial"/>
      <w:i/>
      <w:iCs/>
      <w:sz w:val="22"/>
      <w:szCs w:val="22"/>
    </w:rPr>
  </w:style>
  <w:style w:type="character" w:styleId="772">
    <w:name w:val="Heading 9 Char"/>
    <w:basedOn w:val="787"/>
    <w:link w:val="786"/>
    <w:uiPriority w:val="9"/>
    <w:rPr>
      <w:rFonts w:ascii="Arial" w:hAnsi="Arial" w:eastAsia="Arial" w:cs="Arial"/>
      <w:i/>
      <w:iCs/>
      <w:sz w:val="21"/>
      <w:szCs w:val="21"/>
    </w:rPr>
  </w:style>
  <w:style w:type="character" w:styleId="773">
    <w:name w:val="Subtitle Char"/>
    <w:basedOn w:val="787"/>
    <w:link w:val="800"/>
    <w:uiPriority w:val="11"/>
    <w:rPr>
      <w:sz w:val="24"/>
      <w:szCs w:val="24"/>
    </w:rPr>
  </w:style>
  <w:style w:type="character" w:styleId="774">
    <w:name w:val="Quote Char"/>
    <w:link w:val="802"/>
    <w:uiPriority w:val="29"/>
    <w:rPr>
      <w:i/>
    </w:rPr>
  </w:style>
  <w:style w:type="character" w:styleId="775">
    <w:name w:val="Intense Quote Char"/>
    <w:link w:val="804"/>
    <w:uiPriority w:val="30"/>
    <w:rPr>
      <w:i/>
    </w:rPr>
  </w:style>
  <w:style w:type="character" w:styleId="776">
    <w:name w:val="Endnote Text Char"/>
    <w:link w:val="936"/>
    <w:uiPriority w:val="99"/>
    <w:rPr>
      <w:sz w:val="20"/>
    </w:rPr>
  </w:style>
  <w:style w:type="paragraph" w:styleId="777" w:default="1">
    <w:name w:val="Normal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778">
    <w:name w:val="Heading 1"/>
    <w:basedOn w:val="777"/>
    <w:next w:val="777"/>
    <w:link w:val="950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779">
    <w:name w:val="Heading 2"/>
    <w:basedOn w:val="777"/>
    <w:next w:val="777"/>
    <w:link w:val="79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80">
    <w:name w:val="Heading 3"/>
    <w:basedOn w:val="777"/>
    <w:next w:val="777"/>
    <w:link w:val="951"/>
    <w:unhideWhenUsed/>
    <w:qFormat/>
    <w:pPr>
      <w:numPr>
        <w:ilvl w:val="0"/>
        <w:numId w:val="6"/>
      </w:numPr>
      <w:ind w:left="0" w:firstLine="0"/>
      <w:keepNext/>
      <w:spacing w:before="240" w:after="60"/>
      <w:tabs>
        <w:tab w:val="clear" w:pos="2317" w:leader="none"/>
      </w:tabs>
      <w:outlineLvl w:val="2"/>
    </w:pPr>
    <w:rPr>
      <w:rFonts w:ascii="Cambria" w:hAnsi="Cambria"/>
      <w:b/>
      <w:bCs/>
      <w:sz w:val="26"/>
      <w:szCs w:val="26"/>
    </w:rPr>
  </w:style>
  <w:style w:type="paragraph" w:styleId="781">
    <w:name w:val="Heading 4"/>
    <w:basedOn w:val="777"/>
    <w:next w:val="777"/>
    <w:link w:val="79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82">
    <w:name w:val="Heading 5"/>
    <w:basedOn w:val="777"/>
    <w:next w:val="777"/>
    <w:link w:val="79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83">
    <w:name w:val="Heading 6"/>
    <w:basedOn w:val="777"/>
    <w:next w:val="777"/>
    <w:link w:val="79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84">
    <w:name w:val="Heading 7"/>
    <w:basedOn w:val="777"/>
    <w:next w:val="777"/>
    <w:link w:val="79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85">
    <w:name w:val="Heading 8"/>
    <w:basedOn w:val="777"/>
    <w:next w:val="777"/>
    <w:link w:val="79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86">
    <w:name w:val="Heading 9"/>
    <w:basedOn w:val="777"/>
    <w:next w:val="777"/>
    <w:link w:val="79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87" w:default="1">
    <w:name w:val="Default Paragraph Font"/>
    <w:uiPriority w:val="1"/>
    <w:semiHidden/>
    <w:unhideWhenUsed/>
  </w:style>
  <w:style w:type="table" w:styleId="78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89" w:default="1">
    <w:name w:val="No List"/>
    <w:uiPriority w:val="99"/>
    <w:semiHidden/>
    <w:unhideWhenUsed/>
  </w:style>
  <w:style w:type="character" w:styleId="790" w:customStyle="1">
    <w:name w:val="Heading 1 Char"/>
    <w:basedOn w:val="787"/>
    <w:uiPriority w:val="9"/>
    <w:rPr>
      <w:rFonts w:ascii="Arial" w:hAnsi="Arial" w:eastAsia="Arial" w:cs="Arial"/>
      <w:sz w:val="40"/>
      <w:szCs w:val="40"/>
    </w:rPr>
  </w:style>
  <w:style w:type="character" w:styleId="791" w:customStyle="1">
    <w:name w:val="Заголовок 2 Знак"/>
    <w:basedOn w:val="787"/>
    <w:link w:val="779"/>
    <w:uiPriority w:val="9"/>
    <w:rPr>
      <w:rFonts w:ascii="Arial" w:hAnsi="Arial" w:eastAsia="Arial" w:cs="Arial"/>
      <w:sz w:val="34"/>
    </w:rPr>
  </w:style>
  <w:style w:type="character" w:styleId="792" w:customStyle="1">
    <w:name w:val="Heading 3 Char"/>
    <w:basedOn w:val="787"/>
    <w:uiPriority w:val="9"/>
    <w:rPr>
      <w:rFonts w:ascii="Arial" w:hAnsi="Arial" w:eastAsia="Arial" w:cs="Arial"/>
      <w:sz w:val="30"/>
      <w:szCs w:val="30"/>
    </w:rPr>
  </w:style>
  <w:style w:type="character" w:styleId="793" w:customStyle="1">
    <w:name w:val="Заголовок 4 Знак"/>
    <w:basedOn w:val="787"/>
    <w:link w:val="781"/>
    <w:uiPriority w:val="9"/>
    <w:rPr>
      <w:rFonts w:ascii="Arial" w:hAnsi="Arial" w:eastAsia="Arial" w:cs="Arial"/>
      <w:b/>
      <w:bCs/>
      <w:sz w:val="26"/>
      <w:szCs w:val="26"/>
    </w:rPr>
  </w:style>
  <w:style w:type="character" w:styleId="794" w:customStyle="1">
    <w:name w:val="Заголовок 5 Знак"/>
    <w:basedOn w:val="787"/>
    <w:link w:val="782"/>
    <w:uiPriority w:val="9"/>
    <w:rPr>
      <w:rFonts w:ascii="Arial" w:hAnsi="Arial" w:eastAsia="Arial" w:cs="Arial"/>
      <w:b/>
      <w:bCs/>
      <w:sz w:val="24"/>
      <w:szCs w:val="24"/>
    </w:rPr>
  </w:style>
  <w:style w:type="character" w:styleId="795" w:customStyle="1">
    <w:name w:val="Заголовок 6 Знак"/>
    <w:basedOn w:val="787"/>
    <w:link w:val="783"/>
    <w:uiPriority w:val="9"/>
    <w:rPr>
      <w:rFonts w:ascii="Arial" w:hAnsi="Arial" w:eastAsia="Arial" w:cs="Arial"/>
      <w:b/>
      <w:bCs/>
      <w:sz w:val="22"/>
      <w:szCs w:val="22"/>
    </w:rPr>
  </w:style>
  <w:style w:type="character" w:styleId="796" w:customStyle="1">
    <w:name w:val="Заголовок 7 Знак"/>
    <w:basedOn w:val="787"/>
    <w:link w:val="78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97" w:customStyle="1">
    <w:name w:val="Заголовок 8 Знак"/>
    <w:basedOn w:val="787"/>
    <w:link w:val="785"/>
    <w:uiPriority w:val="9"/>
    <w:rPr>
      <w:rFonts w:ascii="Arial" w:hAnsi="Arial" w:eastAsia="Arial" w:cs="Arial"/>
      <w:i/>
      <w:iCs/>
      <w:sz w:val="22"/>
      <w:szCs w:val="22"/>
    </w:rPr>
  </w:style>
  <w:style w:type="character" w:styleId="798" w:customStyle="1">
    <w:name w:val="Заголовок 9 Знак"/>
    <w:basedOn w:val="787"/>
    <w:link w:val="786"/>
    <w:uiPriority w:val="9"/>
    <w:rPr>
      <w:rFonts w:ascii="Arial" w:hAnsi="Arial" w:eastAsia="Arial" w:cs="Arial"/>
      <w:i/>
      <w:iCs/>
      <w:sz w:val="21"/>
      <w:szCs w:val="21"/>
    </w:rPr>
  </w:style>
  <w:style w:type="character" w:styleId="799" w:customStyle="1">
    <w:name w:val="Title Char"/>
    <w:basedOn w:val="787"/>
    <w:uiPriority w:val="10"/>
    <w:rPr>
      <w:sz w:val="48"/>
      <w:szCs w:val="48"/>
    </w:rPr>
  </w:style>
  <w:style w:type="paragraph" w:styleId="800">
    <w:name w:val="Subtitle"/>
    <w:basedOn w:val="777"/>
    <w:next w:val="777"/>
    <w:link w:val="801"/>
    <w:uiPriority w:val="11"/>
    <w:qFormat/>
    <w:pPr>
      <w:spacing w:before="200" w:after="200"/>
    </w:pPr>
    <w:rPr>
      <w:sz w:val="24"/>
      <w:szCs w:val="24"/>
    </w:rPr>
  </w:style>
  <w:style w:type="character" w:styleId="801" w:customStyle="1">
    <w:name w:val="Подзаголовок Знак"/>
    <w:basedOn w:val="787"/>
    <w:link w:val="800"/>
    <w:uiPriority w:val="11"/>
    <w:rPr>
      <w:sz w:val="24"/>
      <w:szCs w:val="24"/>
    </w:rPr>
  </w:style>
  <w:style w:type="paragraph" w:styleId="802">
    <w:name w:val="Quote"/>
    <w:basedOn w:val="777"/>
    <w:next w:val="777"/>
    <w:link w:val="803"/>
    <w:uiPriority w:val="29"/>
    <w:qFormat/>
    <w:pPr>
      <w:ind w:left="720" w:right="720"/>
    </w:pPr>
    <w:rPr>
      <w:i/>
    </w:rPr>
  </w:style>
  <w:style w:type="character" w:styleId="803" w:customStyle="1">
    <w:name w:val="Цитата 2 Знак"/>
    <w:link w:val="802"/>
    <w:uiPriority w:val="29"/>
    <w:rPr>
      <w:i/>
    </w:rPr>
  </w:style>
  <w:style w:type="paragraph" w:styleId="804">
    <w:name w:val="Intense Quote"/>
    <w:basedOn w:val="777"/>
    <w:next w:val="777"/>
    <w:link w:val="80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05" w:customStyle="1">
    <w:name w:val="Выделенная цитата Знак"/>
    <w:link w:val="804"/>
    <w:uiPriority w:val="30"/>
    <w:rPr>
      <w:i/>
    </w:rPr>
  </w:style>
  <w:style w:type="character" w:styleId="806" w:customStyle="1">
    <w:name w:val="Header Char"/>
    <w:basedOn w:val="787"/>
    <w:uiPriority w:val="99"/>
  </w:style>
  <w:style w:type="character" w:styleId="807" w:customStyle="1">
    <w:name w:val="Footer Char"/>
    <w:basedOn w:val="787"/>
    <w:uiPriority w:val="99"/>
  </w:style>
  <w:style w:type="paragraph" w:styleId="808">
    <w:name w:val="Caption"/>
    <w:basedOn w:val="777"/>
    <w:next w:val="777"/>
    <w:link w:val="80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09" w:customStyle="1">
    <w:name w:val="Caption Char"/>
    <w:uiPriority w:val="99"/>
  </w:style>
  <w:style w:type="table" w:styleId="810" w:customStyle="1">
    <w:name w:val="Table Grid Light"/>
    <w:basedOn w:val="788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11">
    <w:name w:val="Plain Table 1"/>
    <w:basedOn w:val="788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auto"/>
      </w:tcPr>
    </w:tblStylePr>
    <w:tblStylePr w:type="band1Vert">
      <w:tcPr>
        <w:shd w:val="clear" w:color="f2f2f2" w:themeColor="text1" w:themeTint="0D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2">
    <w:name w:val="Plain Table 2"/>
    <w:basedOn w:val="788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3">
    <w:name w:val="Plain Table 3"/>
    <w:basedOn w:val="78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14">
    <w:name w:val="Plain Table 4"/>
    <w:basedOn w:val="78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Plain Table 5"/>
    <w:basedOn w:val="78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16">
    <w:name w:val="Grid Table 1 Light"/>
    <w:basedOn w:val="7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 w:customStyle="1">
    <w:name w:val="Grid Table 1 Light - Accent 1"/>
    <w:basedOn w:val="7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 w:customStyle="1">
    <w:name w:val="Grid Table 1 Light - Accent 2"/>
    <w:basedOn w:val="7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 w:customStyle="1">
    <w:name w:val="Grid Table 1 Light - Accent 3"/>
    <w:basedOn w:val="7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 w:customStyle="1">
    <w:name w:val="Grid Table 1 Light - Accent 4"/>
    <w:basedOn w:val="7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Grid Table 1 Light - Accent 5"/>
    <w:basedOn w:val="7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Grid Table 1 Light - Accent 6"/>
    <w:basedOn w:val="7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Grid Table 2"/>
    <w:basedOn w:val="78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Grid Table 2 - Accent 1"/>
    <w:basedOn w:val="78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Grid Table 2 - Accent 2"/>
    <w:basedOn w:val="78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Grid Table 2 - Accent 3"/>
    <w:basedOn w:val="78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Grid Table 2 - Accent 4"/>
    <w:basedOn w:val="78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Grid Table 2 - Accent 5"/>
    <w:basedOn w:val="78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Grid Table 2 - Accent 6"/>
    <w:basedOn w:val="78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3"/>
    <w:basedOn w:val="78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Grid Table 3 - Accent 1"/>
    <w:basedOn w:val="78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Grid Table 3 - Accent 2"/>
    <w:basedOn w:val="78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Grid Table 3 - Accent 3"/>
    <w:basedOn w:val="78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Grid Table 3 - Accent 4"/>
    <w:basedOn w:val="78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Grid Table 3 - Accent 5"/>
    <w:basedOn w:val="78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Grid Table 3 - Accent 6"/>
    <w:basedOn w:val="78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Grid Table 4"/>
    <w:basedOn w:val="788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auto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38" w:customStyle="1">
    <w:name w:val="Grid Table 4 - Accent 1"/>
    <w:basedOn w:val="788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auto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39" w:customStyle="1">
    <w:name w:val="Grid Table 4 - Accent 2"/>
    <w:basedOn w:val="788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auto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40" w:customStyle="1">
    <w:name w:val="Grid Table 4 - Accent 3"/>
    <w:basedOn w:val="788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auto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41" w:customStyle="1">
    <w:name w:val="Grid Table 4 - Accent 4"/>
    <w:basedOn w:val="788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auto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42" w:customStyle="1">
    <w:name w:val="Grid Table 4 - Accent 5"/>
    <w:basedOn w:val="788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auto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43" w:customStyle="1">
    <w:name w:val="Grid Table 4 - Accent 6"/>
    <w:basedOn w:val="788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auto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44">
    <w:name w:val="Grid Table 5 Dark"/>
    <w:basedOn w:val="7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auto"/>
    </w:tblPr>
    <w:tblStylePr w:type="band1Horz">
      <w:tcPr>
        <w:shd w:val="clear" w:color="8a8a8a" w:themeColor="text1" w:themeTint="75" w:fill="auto"/>
      </w:tcPr>
    </w:tblStylePr>
    <w:tblStylePr w:type="band1Vert">
      <w:tcPr>
        <w:shd w:val="clear" w:color="8a8a8a" w:themeColor="text1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auto"/>
        <w:tcBorders>
          <w:top w:val="single" w:color="FFFFFF" w:themeColor="light1" w:sz="4" w:space="0"/>
        </w:tcBorders>
      </w:tcPr>
    </w:tblStylePr>
  </w:style>
  <w:style w:type="table" w:styleId="845" w:customStyle="1">
    <w:name w:val="Grid Table 5 Dark- Accent 1"/>
    <w:basedOn w:val="7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auto"/>
    </w:tblPr>
    <w:tblStylePr w:type="band1Horz">
      <w:tcPr>
        <w:shd w:val="clear" w:color="aec4e0" w:themeColor="accent1" w:themeTint="75" w:fill="auto"/>
      </w:tcPr>
    </w:tblStylePr>
    <w:tblStylePr w:type="band1Vert">
      <w:tcPr>
        <w:shd w:val="clear" w:color="aec4e0" w:themeColor="accent1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auto"/>
        <w:tcBorders>
          <w:top w:val="single" w:color="FFFFFF" w:themeColor="light1" w:sz="4" w:space="0"/>
        </w:tcBorders>
      </w:tcPr>
    </w:tblStylePr>
  </w:style>
  <w:style w:type="table" w:styleId="846" w:customStyle="1">
    <w:name w:val="Grid Table 5 Dark - Accent 2"/>
    <w:basedOn w:val="7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auto"/>
    </w:tblPr>
    <w:tblStylePr w:type="band1Horz">
      <w:tcPr>
        <w:shd w:val="clear" w:color="e2aead" w:themeColor="accent2" w:themeTint="75" w:fill="auto"/>
      </w:tcPr>
    </w:tblStylePr>
    <w:tblStylePr w:type="band1Vert">
      <w:tcPr>
        <w:shd w:val="clear" w:color="e2aead" w:themeColor="accent2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auto"/>
        <w:tcBorders>
          <w:top w:val="single" w:color="FFFFFF" w:themeColor="light1" w:sz="4" w:space="0"/>
        </w:tcBorders>
      </w:tcPr>
    </w:tblStylePr>
  </w:style>
  <w:style w:type="table" w:styleId="847" w:customStyle="1">
    <w:name w:val="Grid Table 5 Dark - Accent 3"/>
    <w:basedOn w:val="7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auto"/>
    </w:tblPr>
    <w:tblStylePr w:type="band1Horz">
      <w:tcPr>
        <w:shd w:val="clear" w:color="d0dfb2" w:themeColor="accent3" w:themeTint="75" w:fill="auto"/>
      </w:tcPr>
    </w:tblStylePr>
    <w:tblStylePr w:type="band1Vert">
      <w:tcPr>
        <w:shd w:val="clear" w:color="d0dfb2" w:themeColor="accent3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auto"/>
        <w:tcBorders>
          <w:top w:val="single" w:color="FFFFFF" w:themeColor="light1" w:sz="4" w:space="0"/>
        </w:tcBorders>
      </w:tcPr>
    </w:tblStylePr>
  </w:style>
  <w:style w:type="table" w:styleId="848" w:customStyle="1">
    <w:name w:val="Grid Table 5 Dark- Accent 4"/>
    <w:basedOn w:val="7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auto"/>
    </w:tblPr>
    <w:tblStylePr w:type="band1Horz">
      <w:tcPr>
        <w:shd w:val="clear" w:color="c4b7d4" w:themeColor="accent4" w:themeTint="75" w:fill="auto"/>
      </w:tcPr>
    </w:tblStylePr>
    <w:tblStylePr w:type="band1Vert">
      <w:tcPr>
        <w:shd w:val="clear" w:color="c4b7d4" w:themeColor="accent4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auto"/>
        <w:tcBorders>
          <w:top w:val="single" w:color="FFFFFF" w:themeColor="light1" w:sz="4" w:space="0"/>
        </w:tcBorders>
      </w:tcPr>
    </w:tblStylePr>
  </w:style>
  <w:style w:type="table" w:styleId="849" w:customStyle="1">
    <w:name w:val="Grid Table 5 Dark - Accent 5"/>
    <w:basedOn w:val="7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auto"/>
    </w:tblPr>
    <w:tblStylePr w:type="band1Horz">
      <w:tcPr>
        <w:shd w:val="clear" w:color="acd8e4" w:themeColor="accent5" w:themeTint="75" w:fill="auto"/>
      </w:tcPr>
    </w:tblStylePr>
    <w:tblStylePr w:type="band1Vert">
      <w:tcPr>
        <w:shd w:val="clear" w:color="acd8e4" w:themeColor="accent5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auto"/>
        <w:tcBorders>
          <w:top w:val="single" w:color="FFFFFF" w:themeColor="light1" w:sz="4" w:space="0"/>
        </w:tcBorders>
      </w:tcPr>
    </w:tblStylePr>
  </w:style>
  <w:style w:type="table" w:styleId="850" w:customStyle="1">
    <w:name w:val="Grid Table 5 Dark - Accent 6"/>
    <w:basedOn w:val="7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auto"/>
    </w:tblPr>
    <w:tblStylePr w:type="band1Horz">
      <w:tcPr>
        <w:shd w:val="clear" w:color="fbceaa" w:themeColor="accent6" w:themeTint="75" w:fill="auto"/>
      </w:tcPr>
    </w:tblStylePr>
    <w:tblStylePr w:type="band1Vert">
      <w:tcPr>
        <w:shd w:val="clear" w:color="fbceaa" w:themeColor="accent6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auto"/>
        <w:tcBorders>
          <w:top w:val="single" w:color="FFFFFF" w:themeColor="light1" w:sz="4" w:space="0"/>
        </w:tcBorders>
      </w:tcPr>
    </w:tblStylePr>
  </w:style>
  <w:style w:type="table" w:styleId="851">
    <w:name w:val="Grid Table 6 Colorful"/>
    <w:basedOn w:val="7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auto"/>
      </w:tcPr>
    </w:tblStylePr>
    <w:tblStylePr w:type="band1Vert"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52" w:customStyle="1">
    <w:name w:val="Grid Table 6 Colorful - Accent 1"/>
    <w:basedOn w:val="7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auto"/>
      </w:tcPr>
    </w:tblStylePr>
    <w:tblStylePr w:type="band1Vert"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53" w:customStyle="1">
    <w:name w:val="Grid Table 6 Colorful - Accent 2"/>
    <w:basedOn w:val="7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auto"/>
      </w:tcPr>
    </w:tblStylePr>
    <w:tblStylePr w:type="band1Vert"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54" w:customStyle="1">
    <w:name w:val="Grid Table 6 Colorful - Accent 3"/>
    <w:basedOn w:val="7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auto"/>
      </w:tcPr>
    </w:tblStylePr>
    <w:tblStylePr w:type="band1Vert"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55" w:customStyle="1">
    <w:name w:val="Grid Table 6 Colorful - Accent 4"/>
    <w:basedOn w:val="7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auto"/>
      </w:tcPr>
    </w:tblStylePr>
    <w:tblStylePr w:type="band1Vert"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56" w:customStyle="1">
    <w:name w:val="Grid Table 6 Colorful - Accent 5"/>
    <w:basedOn w:val="7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auto"/>
      </w:tcPr>
    </w:tblStylePr>
    <w:tblStylePr w:type="band1Vert"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57" w:customStyle="1">
    <w:name w:val="Grid Table 6 Colorful - Accent 6"/>
    <w:basedOn w:val="7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auto"/>
      </w:tcPr>
    </w:tblStylePr>
    <w:tblStylePr w:type="band1Vert"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58">
    <w:name w:val="Grid Table 7 Colorful"/>
    <w:basedOn w:val="78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auto"/>
      </w:tcPr>
    </w:tblStylePr>
    <w:tblStylePr w:type="band1Vert"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auto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auto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 w:customStyle="1">
    <w:name w:val="Grid Table 7 Colorful - Accent 1"/>
    <w:basedOn w:val="78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auto"/>
      </w:tcPr>
    </w:tblStylePr>
    <w:tblStylePr w:type="band1Vert"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auto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auto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 w:customStyle="1">
    <w:name w:val="Grid Table 7 Colorful - Accent 2"/>
    <w:basedOn w:val="78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auto"/>
      </w:tcPr>
    </w:tblStylePr>
    <w:tblStylePr w:type="band1Vert"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auto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 w:customStyle="1">
    <w:name w:val="Grid Table 7 Colorful - Accent 3"/>
    <w:basedOn w:val="78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auto"/>
      </w:tcPr>
    </w:tblStylePr>
    <w:tblStylePr w:type="band1Vert"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auto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 w:customStyle="1">
    <w:name w:val="Grid Table 7 Colorful - Accent 4"/>
    <w:basedOn w:val="78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auto"/>
      </w:tcPr>
    </w:tblStylePr>
    <w:tblStylePr w:type="band1Vert"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auto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 w:customStyle="1">
    <w:name w:val="Grid Table 7 Colorful - Accent 5"/>
    <w:basedOn w:val="78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auto"/>
      </w:tcPr>
    </w:tblStylePr>
    <w:tblStylePr w:type="band1Vert"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auto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auto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 w:customStyle="1">
    <w:name w:val="Grid Table 7 Colorful - Accent 6"/>
    <w:basedOn w:val="78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auto"/>
      </w:tcPr>
    </w:tblStylePr>
    <w:tblStylePr w:type="band1Vert"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auto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auto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>
    <w:name w:val="List Table 1 Light"/>
    <w:basedOn w:val="78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auto"/>
      </w:tcPr>
    </w:tblStylePr>
    <w:tblStylePr w:type="band1Vert">
      <w:tcPr>
        <w:shd w:val="clear" w:color="bfbfbf" w:themeColor="text1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 w:customStyle="1">
    <w:name w:val="List Table 1 Light - Accent 1"/>
    <w:basedOn w:val="78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auto"/>
      </w:tcPr>
    </w:tblStylePr>
    <w:tblStylePr w:type="band1Vert">
      <w:tcPr>
        <w:shd w:val="clear" w:color="d2dfee" w:themeColor="accent1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 w:customStyle="1">
    <w:name w:val="List Table 1 Light - Accent 2"/>
    <w:basedOn w:val="78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auto"/>
      </w:tcPr>
    </w:tblStylePr>
    <w:tblStylePr w:type="band1Vert">
      <w:tcPr>
        <w:shd w:val="clear" w:color="efd2d2" w:themeColor="accent2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 w:customStyle="1">
    <w:name w:val="List Table 1 Light - Accent 3"/>
    <w:basedOn w:val="78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auto"/>
      </w:tcPr>
    </w:tblStylePr>
    <w:tblStylePr w:type="band1Vert">
      <w:tcPr>
        <w:shd w:val="clear" w:color="e5eed5" w:themeColor="accent3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 w:customStyle="1">
    <w:name w:val="List Table 1 Light - Accent 4"/>
    <w:basedOn w:val="78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auto"/>
      </w:tcPr>
    </w:tblStylePr>
    <w:tblStylePr w:type="band1Vert">
      <w:tcPr>
        <w:shd w:val="clear" w:color="dfd8e7" w:themeColor="accent4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 w:customStyle="1">
    <w:name w:val="List Table 1 Light - Accent 5"/>
    <w:basedOn w:val="78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auto"/>
      </w:tcPr>
    </w:tblStylePr>
    <w:tblStylePr w:type="band1Vert">
      <w:tcPr>
        <w:shd w:val="clear" w:color="d1eaf0" w:themeColor="accent5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 w:customStyle="1">
    <w:name w:val="List Table 1 Light - Accent 6"/>
    <w:basedOn w:val="78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auto"/>
      </w:tcPr>
    </w:tblStylePr>
    <w:tblStylePr w:type="band1Vert">
      <w:tcPr>
        <w:shd w:val="clear" w:color="fde4d0" w:themeColor="accent6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List Table 2"/>
    <w:basedOn w:val="7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73" w:customStyle="1">
    <w:name w:val="List Table 2 - Accent 1"/>
    <w:basedOn w:val="7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74" w:customStyle="1">
    <w:name w:val="List Table 2 - Accent 2"/>
    <w:basedOn w:val="7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75" w:customStyle="1">
    <w:name w:val="List Table 2 - Accent 3"/>
    <w:basedOn w:val="7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76" w:customStyle="1">
    <w:name w:val="List Table 2 - Accent 4"/>
    <w:basedOn w:val="7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77" w:customStyle="1">
    <w:name w:val="List Table 2 - Accent 5"/>
    <w:basedOn w:val="7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78" w:customStyle="1">
    <w:name w:val="List Table 2 - Accent 6"/>
    <w:basedOn w:val="7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79">
    <w:name w:val="List Table 3"/>
    <w:basedOn w:val="7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 w:customStyle="1">
    <w:name w:val="List Table 3 - Accent 1"/>
    <w:basedOn w:val="7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 w:customStyle="1">
    <w:name w:val="List Table 3 - Accent 2"/>
    <w:basedOn w:val="7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 w:customStyle="1">
    <w:name w:val="List Table 3 - Accent 3"/>
    <w:basedOn w:val="7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 w:customStyle="1">
    <w:name w:val="List Table 3 - Accent 4"/>
    <w:basedOn w:val="7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 w:customStyle="1">
    <w:name w:val="List Table 3 - Accent 5"/>
    <w:basedOn w:val="7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 w:customStyle="1">
    <w:name w:val="List Table 3 - Accent 6"/>
    <w:basedOn w:val="7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>
    <w:name w:val="List Table 4"/>
    <w:basedOn w:val="7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 w:customStyle="1">
    <w:name w:val="List Table 4 - Accent 1"/>
    <w:basedOn w:val="7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 w:customStyle="1">
    <w:name w:val="List Table 4 - Accent 2"/>
    <w:basedOn w:val="7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 w:customStyle="1">
    <w:name w:val="List Table 4 - Accent 3"/>
    <w:basedOn w:val="7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 w:customStyle="1">
    <w:name w:val="List Table 4 - Accent 4"/>
    <w:basedOn w:val="7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 w:customStyle="1">
    <w:name w:val="List Table 4 - Accent 5"/>
    <w:basedOn w:val="7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 w:customStyle="1">
    <w:name w:val="List Table 4 - Accent 6"/>
    <w:basedOn w:val="7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>
    <w:name w:val="List Table 5 Dark"/>
    <w:basedOn w:val="7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auto"/>
    </w:tblPr>
    <w:tblStylePr w:type="band1Horz">
      <w:tcPr>
        <w:shd w:val="clear" w:color="7f7f7f" w:themeColor="text1" w:themeTint="80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auto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4" w:customStyle="1">
    <w:name w:val="List Table 5 Dark - Accent 1"/>
    <w:basedOn w:val="7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auto"/>
    </w:tblPr>
    <w:tblStylePr w:type="band1Horz">
      <w:tcPr>
        <w:shd w:val="clear" w:color="4f81bd" w:themeColor="accent1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auto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5" w:customStyle="1">
    <w:name w:val="List Table 5 Dark - Accent 2"/>
    <w:basedOn w:val="7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auto"/>
    </w:tblPr>
    <w:tblStylePr w:type="band1Horz">
      <w:tcPr>
        <w:shd w:val="clear" w:color="d99695" w:themeColor="accent2" w:themeTint="97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auto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6" w:customStyle="1">
    <w:name w:val="List Table 5 Dark - Accent 3"/>
    <w:basedOn w:val="7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auto"/>
    </w:tblPr>
    <w:tblStylePr w:type="band1Horz">
      <w:tcPr>
        <w:shd w:val="clear" w:color="c3d69b" w:themeColor="accent3" w:themeTint="98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auto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7" w:customStyle="1">
    <w:name w:val="List Table 5 Dark - Accent 4"/>
    <w:basedOn w:val="7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auto"/>
    </w:tblPr>
    <w:tblStylePr w:type="band1Horz">
      <w:tcPr>
        <w:shd w:val="clear" w:color="b2a1c6" w:themeColor="accent4" w:themeTint="9A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auto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8" w:customStyle="1">
    <w:name w:val="List Table 5 Dark - Accent 5"/>
    <w:basedOn w:val="7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auto"/>
    </w:tblPr>
    <w:tblStylePr w:type="band1Horz">
      <w:tcPr>
        <w:shd w:val="clear" w:color="92ccdc" w:themeColor="accent5" w:themeTint="9A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auto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9" w:customStyle="1">
    <w:name w:val="List Table 5 Dark - Accent 6"/>
    <w:basedOn w:val="7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auto"/>
    </w:tblPr>
    <w:tblStylePr w:type="band1Horz">
      <w:tcPr>
        <w:shd w:val="clear" w:color="fac090" w:themeColor="accent6" w:themeTint="98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auto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0">
    <w:name w:val="List Table 6 Colorful"/>
    <w:basedOn w:val="7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auto"/>
      </w:tcPr>
    </w:tblStylePr>
    <w:tblStylePr w:type="band1Vert"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01" w:customStyle="1">
    <w:name w:val="List Table 6 Colorful - Accent 1"/>
    <w:basedOn w:val="7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auto"/>
      </w:tcPr>
    </w:tblStylePr>
    <w:tblStylePr w:type="band1Vert"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02" w:customStyle="1">
    <w:name w:val="List Table 6 Colorful - Accent 2"/>
    <w:basedOn w:val="7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auto"/>
      </w:tcPr>
    </w:tblStylePr>
    <w:tblStylePr w:type="band1Vert"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03" w:customStyle="1">
    <w:name w:val="List Table 6 Colorful - Accent 3"/>
    <w:basedOn w:val="7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auto"/>
      </w:tcPr>
    </w:tblStylePr>
    <w:tblStylePr w:type="band1Vert"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04" w:customStyle="1">
    <w:name w:val="List Table 6 Colorful - Accent 4"/>
    <w:basedOn w:val="7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auto"/>
      </w:tcPr>
    </w:tblStylePr>
    <w:tblStylePr w:type="band1Vert"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05" w:customStyle="1">
    <w:name w:val="List Table 6 Colorful - Accent 5"/>
    <w:basedOn w:val="7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auto"/>
      </w:tcPr>
    </w:tblStylePr>
    <w:tblStylePr w:type="band1Vert"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06" w:customStyle="1">
    <w:name w:val="List Table 6 Colorful - Accent 6"/>
    <w:basedOn w:val="7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auto"/>
      </w:tcPr>
    </w:tblStylePr>
    <w:tblStylePr w:type="band1Vert"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07">
    <w:name w:val="List Table 7 Colorful"/>
    <w:basedOn w:val="78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auto"/>
      </w:tcPr>
    </w:tblStylePr>
    <w:tblStylePr w:type="band1Vert"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auto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auto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 w:customStyle="1">
    <w:name w:val="List Table 7 Colorful - Accent 1"/>
    <w:basedOn w:val="78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auto"/>
      </w:tcPr>
    </w:tblStylePr>
    <w:tblStylePr w:type="band1Vert"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auto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auto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 w:customStyle="1">
    <w:name w:val="List Table 7 Colorful - Accent 2"/>
    <w:basedOn w:val="78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auto"/>
      </w:tcPr>
    </w:tblStylePr>
    <w:tblStylePr w:type="band1Vert"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auto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 w:customStyle="1">
    <w:name w:val="List Table 7 Colorful - Accent 3"/>
    <w:basedOn w:val="78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auto"/>
      </w:tcPr>
    </w:tblStylePr>
    <w:tblStylePr w:type="band1Vert"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auto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auto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 w:customStyle="1">
    <w:name w:val="List Table 7 Colorful - Accent 4"/>
    <w:basedOn w:val="78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auto"/>
      </w:tcPr>
    </w:tblStylePr>
    <w:tblStylePr w:type="band1Vert"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auto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 w:customStyle="1">
    <w:name w:val="List Table 7 Colorful - Accent 5"/>
    <w:basedOn w:val="78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auto"/>
      </w:tcPr>
    </w:tblStylePr>
    <w:tblStylePr w:type="band1Vert"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auto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auto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 w:customStyle="1">
    <w:name w:val="List Table 7 Colorful - Accent 6"/>
    <w:basedOn w:val="78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auto"/>
      </w:tcPr>
    </w:tblStylePr>
    <w:tblStylePr w:type="band1Vert"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auto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auto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 w:customStyle="1">
    <w:name w:val="Lined - Accent"/>
    <w:basedOn w:val="78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</w:style>
  <w:style w:type="table" w:styleId="915" w:customStyle="1">
    <w:name w:val="Lined - Accent 1"/>
    <w:basedOn w:val="78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auto"/>
      </w:tcPr>
    </w:tblStylePr>
  </w:style>
  <w:style w:type="table" w:styleId="916" w:customStyle="1">
    <w:name w:val="Lined - Accent 2"/>
    <w:basedOn w:val="78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auto"/>
      </w:tcPr>
    </w:tblStylePr>
  </w:style>
  <w:style w:type="table" w:styleId="917" w:customStyle="1">
    <w:name w:val="Lined - Accent 3"/>
    <w:basedOn w:val="78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auto"/>
      </w:tcPr>
    </w:tblStylePr>
  </w:style>
  <w:style w:type="table" w:styleId="918" w:customStyle="1">
    <w:name w:val="Lined - Accent 4"/>
    <w:basedOn w:val="78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auto"/>
      </w:tcPr>
    </w:tblStylePr>
  </w:style>
  <w:style w:type="table" w:styleId="919" w:customStyle="1">
    <w:name w:val="Lined - Accent 5"/>
    <w:basedOn w:val="78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auto"/>
      </w:tcPr>
    </w:tblStylePr>
  </w:style>
  <w:style w:type="table" w:styleId="920" w:customStyle="1">
    <w:name w:val="Lined - Accent 6"/>
    <w:basedOn w:val="78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auto"/>
      </w:tcPr>
    </w:tblStylePr>
  </w:style>
  <w:style w:type="table" w:styleId="921" w:customStyle="1">
    <w:name w:val="Bordered &amp; Lined - Accent"/>
    <w:basedOn w:val="78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</w:style>
  <w:style w:type="table" w:styleId="922" w:customStyle="1">
    <w:name w:val="Bordered &amp; Lined - Accent 1"/>
    <w:basedOn w:val="78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auto"/>
      </w:tcPr>
    </w:tblStylePr>
  </w:style>
  <w:style w:type="table" w:styleId="923" w:customStyle="1">
    <w:name w:val="Bordered &amp; Lined - Accent 2"/>
    <w:basedOn w:val="78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auto"/>
      </w:tcPr>
    </w:tblStylePr>
  </w:style>
  <w:style w:type="table" w:styleId="924" w:customStyle="1">
    <w:name w:val="Bordered &amp; Lined - Accent 3"/>
    <w:basedOn w:val="78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auto"/>
      </w:tcPr>
    </w:tblStylePr>
  </w:style>
  <w:style w:type="table" w:styleId="925" w:customStyle="1">
    <w:name w:val="Bordered &amp; Lined - Accent 4"/>
    <w:basedOn w:val="78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auto"/>
      </w:tcPr>
    </w:tblStylePr>
  </w:style>
  <w:style w:type="table" w:styleId="926" w:customStyle="1">
    <w:name w:val="Bordered &amp; Lined - Accent 5"/>
    <w:basedOn w:val="78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auto"/>
      </w:tcPr>
    </w:tblStylePr>
  </w:style>
  <w:style w:type="table" w:styleId="927" w:customStyle="1">
    <w:name w:val="Bordered &amp; Lined - Accent 6"/>
    <w:basedOn w:val="78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auto"/>
      </w:tcPr>
    </w:tblStylePr>
  </w:style>
  <w:style w:type="table" w:styleId="928" w:customStyle="1">
    <w:name w:val="Bordered"/>
    <w:basedOn w:val="7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29" w:customStyle="1">
    <w:name w:val="Bordered - Accent 1"/>
    <w:basedOn w:val="7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30" w:customStyle="1">
    <w:name w:val="Bordered - Accent 2"/>
    <w:basedOn w:val="7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31" w:customStyle="1">
    <w:name w:val="Bordered - Accent 3"/>
    <w:basedOn w:val="7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32" w:customStyle="1">
    <w:name w:val="Bordered - Accent 4"/>
    <w:basedOn w:val="7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33" w:customStyle="1">
    <w:name w:val="Bordered - Accent 5"/>
    <w:basedOn w:val="7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34" w:customStyle="1">
    <w:name w:val="Bordered - Accent 6"/>
    <w:basedOn w:val="7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35" w:customStyle="1">
    <w:name w:val="Footnote Text Char"/>
    <w:uiPriority w:val="99"/>
    <w:rPr>
      <w:sz w:val="18"/>
    </w:rPr>
  </w:style>
  <w:style w:type="paragraph" w:styleId="936">
    <w:name w:val="endnote text"/>
    <w:basedOn w:val="777"/>
    <w:link w:val="937"/>
    <w:uiPriority w:val="99"/>
    <w:semiHidden/>
    <w:unhideWhenUsed/>
  </w:style>
  <w:style w:type="character" w:styleId="937" w:customStyle="1">
    <w:name w:val="Текст концевой сноски Знак"/>
    <w:link w:val="936"/>
    <w:uiPriority w:val="99"/>
    <w:rPr>
      <w:sz w:val="20"/>
    </w:rPr>
  </w:style>
  <w:style w:type="character" w:styleId="938">
    <w:name w:val="endnote reference"/>
    <w:basedOn w:val="787"/>
    <w:uiPriority w:val="99"/>
    <w:semiHidden/>
    <w:unhideWhenUsed/>
    <w:rPr>
      <w:vertAlign w:val="superscript"/>
    </w:rPr>
  </w:style>
  <w:style w:type="paragraph" w:styleId="939">
    <w:name w:val="toc 1"/>
    <w:basedOn w:val="777"/>
    <w:next w:val="777"/>
    <w:uiPriority w:val="39"/>
    <w:unhideWhenUsed/>
    <w:pPr>
      <w:spacing w:after="57"/>
    </w:pPr>
  </w:style>
  <w:style w:type="paragraph" w:styleId="940">
    <w:name w:val="toc 2"/>
    <w:basedOn w:val="777"/>
    <w:next w:val="777"/>
    <w:uiPriority w:val="39"/>
    <w:unhideWhenUsed/>
    <w:pPr>
      <w:ind w:left="283"/>
      <w:spacing w:after="57"/>
    </w:pPr>
  </w:style>
  <w:style w:type="paragraph" w:styleId="941">
    <w:name w:val="toc 3"/>
    <w:basedOn w:val="777"/>
    <w:next w:val="777"/>
    <w:uiPriority w:val="39"/>
    <w:unhideWhenUsed/>
    <w:pPr>
      <w:ind w:left="567"/>
      <w:spacing w:after="57"/>
    </w:pPr>
  </w:style>
  <w:style w:type="paragraph" w:styleId="942">
    <w:name w:val="toc 4"/>
    <w:basedOn w:val="777"/>
    <w:next w:val="777"/>
    <w:uiPriority w:val="39"/>
    <w:unhideWhenUsed/>
    <w:pPr>
      <w:ind w:left="850"/>
      <w:spacing w:after="57"/>
    </w:pPr>
  </w:style>
  <w:style w:type="paragraph" w:styleId="943">
    <w:name w:val="toc 5"/>
    <w:basedOn w:val="777"/>
    <w:next w:val="777"/>
    <w:uiPriority w:val="39"/>
    <w:unhideWhenUsed/>
    <w:pPr>
      <w:ind w:left="1134"/>
      <w:spacing w:after="57"/>
    </w:pPr>
  </w:style>
  <w:style w:type="paragraph" w:styleId="944">
    <w:name w:val="toc 6"/>
    <w:basedOn w:val="777"/>
    <w:next w:val="777"/>
    <w:uiPriority w:val="39"/>
    <w:unhideWhenUsed/>
    <w:pPr>
      <w:ind w:left="1417"/>
      <w:spacing w:after="57"/>
    </w:pPr>
  </w:style>
  <w:style w:type="paragraph" w:styleId="945">
    <w:name w:val="toc 7"/>
    <w:basedOn w:val="777"/>
    <w:next w:val="777"/>
    <w:uiPriority w:val="39"/>
    <w:unhideWhenUsed/>
    <w:pPr>
      <w:ind w:left="1701"/>
      <w:spacing w:after="57"/>
    </w:pPr>
  </w:style>
  <w:style w:type="paragraph" w:styleId="946">
    <w:name w:val="toc 8"/>
    <w:basedOn w:val="777"/>
    <w:next w:val="777"/>
    <w:uiPriority w:val="39"/>
    <w:unhideWhenUsed/>
    <w:pPr>
      <w:ind w:left="1984"/>
      <w:spacing w:after="57"/>
    </w:pPr>
  </w:style>
  <w:style w:type="paragraph" w:styleId="947">
    <w:name w:val="toc 9"/>
    <w:basedOn w:val="777"/>
    <w:next w:val="777"/>
    <w:uiPriority w:val="39"/>
    <w:unhideWhenUsed/>
    <w:pPr>
      <w:ind w:left="2268"/>
      <w:spacing w:after="57"/>
    </w:pPr>
  </w:style>
  <w:style w:type="paragraph" w:styleId="948">
    <w:name w:val="TOC Heading"/>
    <w:uiPriority w:val="39"/>
    <w:unhideWhenUsed/>
  </w:style>
  <w:style w:type="paragraph" w:styleId="949">
    <w:name w:val="table of figures"/>
    <w:basedOn w:val="777"/>
    <w:next w:val="777"/>
    <w:uiPriority w:val="99"/>
    <w:unhideWhenUsed/>
  </w:style>
  <w:style w:type="character" w:styleId="950" w:customStyle="1">
    <w:name w:val="Заголовок 1 Знак"/>
    <w:basedOn w:val="787"/>
    <w:link w:val="778"/>
    <w:uiPriority w:val="9"/>
    <w:rPr>
      <w:rFonts w:ascii="Arial" w:hAnsi="Arial" w:eastAsia="Times New Roman" w:cs="Arial"/>
      <w:b/>
      <w:bCs/>
      <w:sz w:val="32"/>
      <w:szCs w:val="32"/>
      <w:lang w:eastAsia="ru-RU"/>
    </w:rPr>
  </w:style>
  <w:style w:type="character" w:styleId="951" w:customStyle="1">
    <w:name w:val="Заголовок 3 Знак"/>
    <w:basedOn w:val="787"/>
    <w:link w:val="780"/>
    <w:rPr>
      <w:rFonts w:ascii="Cambria" w:hAnsi="Cambria" w:eastAsia="Times New Roman" w:cs="Times New Roman"/>
      <w:b/>
      <w:bCs/>
      <w:sz w:val="26"/>
      <w:szCs w:val="26"/>
      <w:lang w:eastAsia="ru-RU"/>
    </w:rPr>
  </w:style>
  <w:style w:type="paragraph" w:styleId="952">
    <w:name w:val="Title"/>
    <w:basedOn w:val="777"/>
    <w:link w:val="953"/>
    <w:qFormat/>
    <w:pPr>
      <w:jc w:val="center"/>
    </w:pPr>
    <w:rPr>
      <w:b/>
      <w:bCs/>
      <w:sz w:val="24"/>
      <w:szCs w:val="24"/>
    </w:rPr>
  </w:style>
  <w:style w:type="character" w:styleId="953" w:customStyle="1">
    <w:name w:val="Заголовок Знак"/>
    <w:basedOn w:val="787"/>
    <w:link w:val="952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954" w:customStyle="1">
    <w:name w:val="Таблицы (моноширинный)"/>
    <w:basedOn w:val="777"/>
    <w:next w:val="777"/>
    <w:pPr>
      <w:jc w:val="both"/>
    </w:pPr>
    <w:rPr>
      <w:rFonts w:ascii="Courier New" w:hAnsi="Courier New" w:cs="Courier New"/>
    </w:rPr>
  </w:style>
  <w:style w:type="paragraph" w:styleId="955">
    <w:name w:val="Body Text Indent 2"/>
    <w:basedOn w:val="777"/>
    <w:link w:val="956"/>
    <w:pPr>
      <w:ind w:left="1843"/>
      <w:jc w:val="both"/>
    </w:pPr>
    <w:rPr>
      <w:sz w:val="24"/>
    </w:rPr>
  </w:style>
  <w:style w:type="character" w:styleId="956" w:customStyle="1">
    <w:name w:val="Основной текст с отступом 2 Знак"/>
    <w:basedOn w:val="787"/>
    <w:link w:val="955"/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957">
    <w:name w:val="Balloon Text"/>
    <w:basedOn w:val="777"/>
    <w:link w:val="958"/>
    <w:uiPriority w:val="99"/>
    <w:semiHidden/>
    <w:rPr>
      <w:rFonts w:ascii="Tahoma" w:hAnsi="Tahoma" w:cs="Tahoma"/>
      <w:sz w:val="16"/>
      <w:szCs w:val="16"/>
    </w:rPr>
  </w:style>
  <w:style w:type="character" w:styleId="958" w:customStyle="1">
    <w:name w:val="Текст выноски Знак"/>
    <w:basedOn w:val="787"/>
    <w:link w:val="957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959">
    <w:name w:val="Body Text 2"/>
    <w:basedOn w:val="777"/>
    <w:link w:val="960"/>
    <w:pPr>
      <w:spacing w:after="120" w:line="480" w:lineRule="auto"/>
      <w:widowControl/>
    </w:pPr>
    <w:rPr>
      <w:sz w:val="24"/>
      <w:szCs w:val="24"/>
    </w:rPr>
  </w:style>
  <w:style w:type="character" w:styleId="960" w:customStyle="1">
    <w:name w:val="Основной текст 2 Знак"/>
    <w:basedOn w:val="787"/>
    <w:link w:val="95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61">
    <w:name w:val="Body Text"/>
    <w:basedOn w:val="777"/>
    <w:link w:val="962"/>
    <w:pPr>
      <w:spacing w:after="120"/>
    </w:pPr>
  </w:style>
  <w:style w:type="character" w:styleId="962" w:customStyle="1">
    <w:name w:val="Основной текст Знак"/>
    <w:basedOn w:val="787"/>
    <w:link w:val="961"/>
    <w:rPr>
      <w:rFonts w:ascii="Times New Roman" w:hAnsi="Times New Roman" w:eastAsia="Times New Roman" w:cs="Times New Roman"/>
      <w:sz w:val="20"/>
      <w:szCs w:val="20"/>
      <w:lang w:eastAsia="ru-RU"/>
    </w:rPr>
  </w:style>
  <w:style w:type="table" w:styleId="963">
    <w:name w:val="Table Grid"/>
    <w:basedOn w:val="788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64">
    <w:name w:val="Footer"/>
    <w:basedOn w:val="777"/>
    <w:link w:val="965"/>
    <w:uiPriority w:val="99"/>
    <w:pPr>
      <w:tabs>
        <w:tab w:val="center" w:pos="4677" w:leader="none"/>
        <w:tab w:val="right" w:pos="9355" w:leader="none"/>
      </w:tabs>
    </w:pPr>
  </w:style>
  <w:style w:type="character" w:styleId="965" w:customStyle="1">
    <w:name w:val="Нижний колонтитул Знак"/>
    <w:basedOn w:val="787"/>
    <w:link w:val="964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66">
    <w:name w:val="page number"/>
    <w:basedOn w:val="787"/>
  </w:style>
  <w:style w:type="paragraph" w:styleId="967">
    <w:name w:val="annotation text"/>
    <w:basedOn w:val="777"/>
    <w:link w:val="968"/>
    <w:uiPriority w:val="99"/>
    <w:semiHidden/>
    <w:pPr>
      <w:widowControl/>
    </w:pPr>
  </w:style>
  <w:style w:type="character" w:styleId="968" w:customStyle="1">
    <w:name w:val="Текст примечания Знак"/>
    <w:basedOn w:val="787"/>
    <w:link w:val="967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69" w:customStyle="1">
    <w:name w:val="a"/>
    <w:basedOn w:val="777"/>
    <w:pPr>
      <w:spacing w:before="100" w:beforeAutospacing="1" w:after="100" w:afterAutospacing="1"/>
      <w:widowControl/>
    </w:pPr>
    <w:rPr>
      <w:sz w:val="24"/>
      <w:szCs w:val="24"/>
    </w:rPr>
  </w:style>
  <w:style w:type="paragraph" w:styleId="970" w:customStyle="1">
    <w:name w:val="a0"/>
    <w:basedOn w:val="777"/>
    <w:pPr>
      <w:spacing w:before="100" w:beforeAutospacing="1" w:after="100" w:afterAutospacing="1"/>
      <w:widowControl/>
    </w:pPr>
    <w:rPr>
      <w:sz w:val="24"/>
      <w:szCs w:val="24"/>
    </w:rPr>
  </w:style>
  <w:style w:type="paragraph" w:styleId="971" w:customStyle="1">
    <w:name w:val="ConsPlusNormal"/>
    <w:pPr>
      <w:ind w:firstLine="720"/>
      <w:spacing w:after="0" w:line="240" w:lineRule="auto"/>
    </w:pPr>
    <w:rPr>
      <w:rFonts w:ascii="Arial" w:hAnsi="Arial" w:eastAsia="Times New Roman" w:cs="Arial"/>
      <w:sz w:val="20"/>
      <w:szCs w:val="20"/>
      <w:lang w:eastAsia="ru-RU"/>
    </w:rPr>
  </w:style>
  <w:style w:type="paragraph" w:styleId="972">
    <w:name w:val="List Paragraph"/>
    <w:basedOn w:val="777"/>
    <w:link w:val="1001"/>
    <w:uiPriority w:val="34"/>
    <w:qFormat/>
    <w:pPr>
      <w:ind w:left="708"/>
    </w:pPr>
  </w:style>
  <w:style w:type="paragraph" w:styleId="973" w:customStyle="1">
    <w:name w:val="Style3"/>
    <w:basedOn w:val="777"/>
    <w:pPr>
      <w:ind w:firstLine="730"/>
      <w:spacing w:line="250" w:lineRule="exact"/>
    </w:pPr>
    <w:rPr>
      <w:sz w:val="24"/>
      <w:szCs w:val="24"/>
    </w:rPr>
  </w:style>
  <w:style w:type="paragraph" w:styleId="974">
    <w:name w:val="Header"/>
    <w:basedOn w:val="777"/>
    <w:link w:val="975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75" w:customStyle="1">
    <w:name w:val="Верхний колонтитул Знак"/>
    <w:basedOn w:val="787"/>
    <w:link w:val="974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76">
    <w:name w:val="Block Text"/>
    <w:basedOn w:val="777"/>
    <w:semiHidden/>
    <w:unhideWhenUsed/>
    <w:pPr>
      <w:ind w:left="-1134" w:right="-760" w:firstLine="567"/>
      <w:jc w:val="both"/>
      <w:widowControl/>
    </w:pPr>
    <w:rPr>
      <w:sz w:val="28"/>
    </w:rPr>
  </w:style>
  <w:style w:type="paragraph" w:styleId="977" w:customStyle="1">
    <w:name w:val="Знак Знак Знак Знак Знак Знак Знак Знак Знак Знак Знак Знак Знак Знак Знак Знак"/>
    <w:basedOn w:val="777"/>
    <w:pPr>
      <w:ind w:left="1069" w:hanging="360"/>
      <w:jc w:val="both"/>
      <w:spacing w:after="160" w:line="240" w:lineRule="exact"/>
      <w:widowControl/>
      <w:tabs>
        <w:tab w:val="num" w:pos="1069" w:leader="none"/>
      </w:tabs>
    </w:pPr>
    <w:rPr>
      <w:rFonts w:ascii="Verdana" w:hAnsi="Verdana" w:cs="Arial"/>
      <w:lang w:val="en-US" w:eastAsia="en-US"/>
    </w:rPr>
  </w:style>
  <w:style w:type="paragraph" w:styleId="978" w:customStyle="1">
    <w:name w:val="Обычный1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79" w:customStyle="1">
    <w:name w:val="Название1"/>
    <w:basedOn w:val="978"/>
    <w:pPr>
      <w:jc w:val="center"/>
    </w:pPr>
    <w:rPr>
      <w:b/>
      <w:sz w:val="26"/>
    </w:rPr>
  </w:style>
  <w:style w:type="numbering" w:styleId="980" w:customStyle="1">
    <w:name w:val="Нет списка1"/>
    <w:next w:val="789"/>
    <w:uiPriority w:val="99"/>
    <w:semiHidden/>
    <w:unhideWhenUsed/>
  </w:style>
  <w:style w:type="character" w:styleId="981">
    <w:name w:val="Hyperlink"/>
    <w:basedOn w:val="787"/>
    <w:uiPriority w:val="99"/>
    <w:unhideWhenUsed/>
    <w:rPr>
      <w:color w:val="0000ff"/>
      <w:u w:val="single"/>
    </w:rPr>
  </w:style>
  <w:style w:type="character" w:styleId="982">
    <w:name w:val="FollowedHyperlink"/>
    <w:basedOn w:val="787"/>
    <w:uiPriority w:val="99"/>
    <w:semiHidden/>
    <w:unhideWhenUsed/>
    <w:rPr>
      <w:color w:val="800080"/>
      <w:u w:val="single"/>
    </w:rPr>
  </w:style>
  <w:style w:type="paragraph" w:styleId="983" w:customStyle="1">
    <w:name w:val="xl67"/>
    <w:basedOn w:val="777"/>
    <w:pPr>
      <w:jc w:val="center"/>
      <w:spacing w:before="100" w:beforeAutospacing="1" w:after="100" w:afterAutospacing="1"/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Calibri" w:hAnsi="Calibri" w:cs="Calibri"/>
      <w:sz w:val="16"/>
      <w:szCs w:val="16"/>
    </w:rPr>
  </w:style>
  <w:style w:type="paragraph" w:styleId="984" w:customStyle="1">
    <w:name w:val="xl68"/>
    <w:basedOn w:val="777"/>
    <w:pPr>
      <w:spacing w:before="100" w:beforeAutospacing="1" w:after="100" w:afterAutospacing="1"/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Verdana" w:hAnsi="Verdana"/>
      <w:sz w:val="24"/>
      <w:szCs w:val="24"/>
    </w:rPr>
  </w:style>
  <w:style w:type="paragraph" w:styleId="985" w:customStyle="1">
    <w:name w:val="xl69"/>
    <w:basedOn w:val="777"/>
    <w:pPr>
      <w:spacing w:before="100" w:beforeAutospacing="1" w:after="100" w:afterAutospacing="1"/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Calibri" w:hAnsi="Calibri" w:cs="Calibri"/>
      <w:sz w:val="16"/>
      <w:szCs w:val="16"/>
    </w:rPr>
  </w:style>
  <w:style w:type="paragraph" w:styleId="986" w:customStyle="1">
    <w:name w:val="xl70"/>
    <w:basedOn w:val="777"/>
    <w:pPr>
      <w:spacing w:before="100" w:beforeAutospacing="1" w:after="100" w:afterAutospacing="1"/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  <w:sz w:val="22"/>
      <w:szCs w:val="22"/>
    </w:rPr>
  </w:style>
  <w:style w:type="paragraph" w:styleId="987" w:customStyle="1">
    <w:name w:val="xl71"/>
    <w:basedOn w:val="777"/>
    <w:pPr>
      <w:spacing w:before="100" w:beforeAutospacing="1" w:after="100" w:afterAutospacing="1"/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  <w:sz w:val="22"/>
      <w:szCs w:val="22"/>
    </w:rPr>
  </w:style>
  <w:style w:type="paragraph" w:styleId="988" w:customStyle="1">
    <w:name w:val="xl72"/>
    <w:basedOn w:val="777"/>
    <w:pPr>
      <w:spacing w:before="100" w:beforeAutospacing="1" w:after="100" w:afterAutospacing="1"/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2"/>
      <w:szCs w:val="22"/>
    </w:rPr>
  </w:style>
  <w:style w:type="paragraph" w:styleId="989" w:customStyle="1">
    <w:name w:val="xl73"/>
    <w:basedOn w:val="777"/>
    <w:pPr>
      <w:spacing w:before="100" w:beforeAutospacing="1" w:after="100" w:afterAutospacing="1"/>
      <w:widowControl/>
    </w:pPr>
  </w:style>
  <w:style w:type="paragraph" w:styleId="990" w:customStyle="1">
    <w:name w:val="xl74"/>
    <w:basedOn w:val="777"/>
    <w:pPr>
      <w:jc w:val="center"/>
      <w:spacing w:before="100" w:beforeAutospacing="1" w:after="100" w:afterAutospacing="1"/>
      <w:widowControl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Calibri" w:hAnsi="Calibri" w:cs="Calibri"/>
      <w:sz w:val="16"/>
      <w:szCs w:val="16"/>
    </w:rPr>
  </w:style>
  <w:style w:type="paragraph" w:styleId="991" w:customStyle="1">
    <w:name w:val="xl75"/>
    <w:basedOn w:val="777"/>
    <w:pPr>
      <w:spacing w:before="100" w:beforeAutospacing="1" w:after="100" w:afterAutospacing="1"/>
      <w:widowControl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Verdana" w:hAnsi="Verdana"/>
      <w:sz w:val="24"/>
      <w:szCs w:val="24"/>
    </w:rPr>
  </w:style>
  <w:style w:type="paragraph" w:styleId="992" w:customStyle="1">
    <w:name w:val="xl76"/>
    <w:basedOn w:val="777"/>
    <w:pPr>
      <w:spacing w:before="100" w:beforeAutospacing="1" w:after="100" w:afterAutospacing="1"/>
      <w:widowControl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Calibri" w:hAnsi="Calibri" w:cs="Calibri"/>
      <w:sz w:val="16"/>
      <w:szCs w:val="16"/>
    </w:rPr>
  </w:style>
  <w:style w:type="paragraph" w:styleId="993" w:customStyle="1">
    <w:name w:val="xl77"/>
    <w:basedOn w:val="777"/>
    <w:pPr>
      <w:jc w:val="center"/>
      <w:spacing w:before="100" w:beforeAutospacing="1" w:after="100" w:afterAutospacing="1"/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color w:val="000000"/>
    </w:rPr>
  </w:style>
  <w:style w:type="paragraph" w:styleId="994" w:customStyle="1">
    <w:name w:val="xl78"/>
    <w:basedOn w:val="777"/>
    <w:pPr>
      <w:jc w:val="center"/>
      <w:spacing w:before="100" w:beforeAutospacing="1" w:after="100" w:afterAutospacing="1"/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color w:val="000000"/>
    </w:rPr>
  </w:style>
  <w:style w:type="character" w:styleId="995">
    <w:name w:val="annotation reference"/>
    <w:basedOn w:val="787"/>
    <w:uiPriority w:val="99"/>
    <w:semiHidden/>
    <w:unhideWhenUsed/>
    <w:rPr>
      <w:sz w:val="16"/>
      <w:szCs w:val="16"/>
    </w:rPr>
  </w:style>
  <w:style w:type="paragraph" w:styleId="996">
    <w:name w:val="annotation subject"/>
    <w:basedOn w:val="967"/>
    <w:next w:val="967"/>
    <w:link w:val="997"/>
    <w:uiPriority w:val="99"/>
    <w:semiHidden/>
    <w:unhideWhenUsed/>
    <w:rPr>
      <w:b/>
      <w:bCs/>
    </w:rPr>
  </w:style>
  <w:style w:type="character" w:styleId="997" w:customStyle="1">
    <w:name w:val="Тема примечания Знак"/>
    <w:basedOn w:val="968"/>
    <w:link w:val="996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998" w:customStyle="1">
    <w:name w:val="xl65"/>
    <w:basedOn w:val="777"/>
    <w:pPr>
      <w:spacing w:before="100" w:beforeAutospacing="1" w:after="100" w:afterAutospacing="1"/>
      <w:widowControl/>
    </w:pPr>
  </w:style>
  <w:style w:type="paragraph" w:styleId="999" w:customStyle="1">
    <w:name w:val="xl66"/>
    <w:basedOn w:val="777"/>
    <w:pPr>
      <w:jc w:val="center"/>
      <w:spacing w:before="100" w:beforeAutospacing="1" w:after="100" w:afterAutospacing="1"/>
      <w:widowControl/>
    </w:pPr>
  </w:style>
  <w:style w:type="numbering" w:styleId="1000" w:customStyle="1">
    <w:name w:val="Нет списка2"/>
    <w:next w:val="789"/>
    <w:uiPriority w:val="99"/>
    <w:semiHidden/>
    <w:unhideWhenUsed/>
  </w:style>
  <w:style w:type="character" w:styleId="1001" w:customStyle="1">
    <w:name w:val="Абзац списка Знак"/>
    <w:link w:val="972"/>
    <w:uiPriority w:val="34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002" w:customStyle="1">
    <w:name w:val="Основной текст_"/>
    <w:basedOn w:val="787"/>
    <w:link w:val="1003"/>
    <w:rPr>
      <w:rFonts w:ascii="Times New Roman" w:hAnsi="Times New Roman" w:eastAsia="Times New Roman" w:cs="Times New Roman"/>
      <w:sz w:val="21"/>
      <w:szCs w:val="21"/>
      <w:shd w:val="clear" w:color="auto" w:fill="ffffff"/>
    </w:rPr>
  </w:style>
  <w:style w:type="paragraph" w:styleId="1003" w:customStyle="1">
    <w:name w:val="Основной текст4"/>
    <w:basedOn w:val="777"/>
    <w:link w:val="1002"/>
    <w:pPr>
      <w:ind w:hanging="840"/>
      <w:jc w:val="both"/>
      <w:spacing w:before="360" w:after="540" w:line="0" w:lineRule="atLeast"/>
      <w:shd w:val="clear" w:color="auto" w:fill="ffffff"/>
      <w:widowControl/>
    </w:pPr>
    <w:rPr>
      <w:sz w:val="21"/>
      <w:szCs w:val="21"/>
      <w:lang w:eastAsia="en-US"/>
    </w:rPr>
  </w:style>
  <w:style w:type="paragraph" w:styleId="1004">
    <w:name w:val="No Spacing"/>
    <w:uiPriority w:val="1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numbering" w:styleId="1005" w:customStyle="1">
    <w:name w:val="Нет списка3"/>
    <w:next w:val="789"/>
    <w:uiPriority w:val="99"/>
    <w:semiHidden/>
    <w:unhideWhenUsed/>
  </w:style>
  <w:style w:type="paragraph" w:styleId="1006">
    <w:name w:val="footnote text"/>
    <w:basedOn w:val="777"/>
    <w:link w:val="1007"/>
    <w:semiHidden/>
    <w:unhideWhenUsed/>
  </w:style>
  <w:style w:type="character" w:styleId="1007" w:customStyle="1">
    <w:name w:val="Текст сноски Знак"/>
    <w:basedOn w:val="787"/>
    <w:link w:val="1006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008">
    <w:name w:val="footnote reference"/>
    <w:basedOn w:val="787"/>
    <w:semiHidden/>
    <w:unhideWhenUsed/>
    <w:rPr>
      <w:vertAlign w:val="superscript"/>
    </w:rPr>
  </w:style>
  <w:style w:type="character" w:styleId="1009" w:customStyle="1">
    <w:name w:val="Font Style21"/>
    <w:basedOn w:val="787"/>
    <w:uiPriority w:val="99"/>
    <w:rPr>
      <w:rFonts w:ascii="Arial" w:hAnsi="Arial" w:cs="Arial"/>
      <w:sz w:val="16"/>
      <w:szCs w:val="16"/>
    </w:rPr>
  </w:style>
  <w:style w:type="character" w:styleId="1010" w:customStyle="1">
    <w:name w:val="Unresolved Mention"/>
    <w:basedOn w:val="787"/>
    <w:uiPriority w:val="99"/>
    <w:semiHidden/>
    <w:unhideWhenUsed/>
    <w:rPr>
      <w:color w:val="605e5c"/>
      <w:shd w:val="clear" w:color="auto" w:fill="e1dfdd"/>
    </w:rPr>
  </w:style>
  <w:style w:type="paragraph" w:styleId="1011" w:customStyle="1">
    <w:name w:val="ПрилТекст1"/>
    <w:basedOn w:val="777"/>
    <w:pPr>
      <w:numPr>
        <w:ilvl w:val="0"/>
        <w:numId w:val="21"/>
      </w:numPr>
      <w:jc w:val="both"/>
      <w:spacing w:before="60"/>
      <w:widowControl/>
    </w:pPr>
    <w:rPr>
      <w:sz w:val="26"/>
    </w:rPr>
  </w:style>
  <w:style w:type="paragraph" w:styleId="1012" w:customStyle="1">
    <w:name w:val="ПрилТекст2"/>
    <w:basedOn w:val="777"/>
    <w:pPr>
      <w:numPr>
        <w:ilvl w:val="1"/>
        <w:numId w:val="21"/>
      </w:numPr>
      <w:jc w:val="both"/>
      <w:spacing w:before="60"/>
      <w:widowControl/>
    </w:pPr>
    <w:rPr>
      <w:sz w:val="26"/>
    </w:rPr>
  </w:style>
  <w:style w:type="paragraph" w:styleId="1013" w:customStyle="1">
    <w:name w:val="ПрилТекст3"/>
    <w:basedOn w:val="777"/>
    <w:pPr>
      <w:numPr>
        <w:ilvl w:val="2"/>
        <w:numId w:val="21"/>
      </w:numPr>
      <w:jc w:val="both"/>
      <w:spacing w:before="60"/>
      <w:widowControl/>
    </w:pPr>
    <w:rPr>
      <w:sz w:val="26"/>
    </w:rPr>
  </w:style>
  <w:style w:type="paragraph" w:styleId="1014" w:customStyle="1">
    <w:name w:val="Margin Text"/>
    <w:pPr>
      <w:jc w:val="both"/>
      <w:spacing w:after="240" w:line="36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</w:style>
  <w:style w:type="paragraph" w:styleId="1015" w:customStyle="1">
    <w:name w:val="no1"/>
    <w:pPr>
      <w:jc w:val="both"/>
      <w:spacing w:after="210" w:line="264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Times New Roman" w:cs="Times New Roman"/>
      <w:sz w:val="21"/>
      <w:szCs w:val="21"/>
      <w:lang w:val="en-GB"/>
    </w:rPr>
  </w:style>
  <w:style w:type="paragraph" w:styleId="1016" w:customStyle="1">
    <w:name w:val="no2"/>
    <w:pPr>
      <w:jc w:val="both"/>
      <w:spacing w:after="210" w:line="264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Times New Roman" w:cs="Times New Roman"/>
      <w:sz w:val="21"/>
      <w:szCs w:val="21"/>
      <w:lang w:val="en-GB"/>
    </w:rPr>
  </w:style>
  <w:style w:type="paragraph" w:styleId="1017" w:customStyle="1">
    <w:name w:val="no4"/>
    <w:pPr>
      <w:jc w:val="both"/>
      <w:spacing w:after="210" w:line="264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Times New Roman" w:cs="Times New Roman"/>
      <w:sz w:val="21"/>
      <w:szCs w:val="21"/>
      <w:lang w:val="en-GB"/>
    </w:rPr>
  </w:style>
  <w:style w:type="paragraph" w:styleId="1018" w:customStyle="1">
    <w:name w:val="Body 2"/>
    <w:qFormat/>
    <w:pPr>
      <w:ind w:left="709"/>
      <w:jc w:val="both"/>
      <w:spacing w:after="210" w:line="264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Arial Unicode MS" w:cs="Arial"/>
      <w:sz w:val="21"/>
      <w:szCs w:val="21"/>
      <w:lang w:val="en-GB" w:eastAsia="en-GB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customXml" Target="../customXml/item1.xml" /><Relationship Id="rId13" Type="http://schemas.openxmlformats.org/officeDocument/2006/relationships/hyperlink" Target="mailto:secretar@ensb.tomsk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7E12A-DE7F-4D89-8983-6B485C794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r7-office/2024.3.2.622</Application>
  <Company>CtrlSoft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Верещагин Данил Михайлович</dc:creator>
  <cp:lastModifiedBy>Смирнягина Анна Сергеевна</cp:lastModifiedBy>
  <cp:revision>50</cp:revision>
  <dcterms:created xsi:type="dcterms:W3CDTF">2021-10-28T02:51:00Z</dcterms:created>
  <dcterms:modified xsi:type="dcterms:W3CDTF">2025-09-24T09:32:56Z</dcterms:modified>
</cp:coreProperties>
</file>